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  <w:bookmarkStart w:id="0" w:name="_GoBack"/>
      <w:bookmarkEnd w:id="0"/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073131">
      <w:pPr>
        <w:jc w:val="center"/>
        <w:rPr>
          <w:rFonts w:ascii="Arial" w:eastAsia="Arial" w:hAnsi="Arial" w:cs="Arial"/>
          <w:sz w:val="47"/>
          <w:szCs w:val="47"/>
        </w:rPr>
      </w:pPr>
      <w:r>
        <w:rPr>
          <w:rFonts w:ascii="Arial" w:eastAsia="Arial" w:hAnsi="Arial" w:cs="Arial"/>
          <w:sz w:val="47"/>
          <w:szCs w:val="47"/>
        </w:rPr>
        <w:t>Anexo III</w:t>
      </w:r>
    </w:p>
    <w:p w:rsidR="008F7A87" w:rsidRDefault="008F7A87">
      <w:pPr>
        <w:jc w:val="center"/>
        <w:rPr>
          <w:rFonts w:ascii="Arial" w:eastAsia="Arial" w:hAnsi="Arial" w:cs="Arial"/>
          <w:sz w:val="47"/>
          <w:szCs w:val="47"/>
        </w:rPr>
      </w:pPr>
    </w:p>
    <w:p w:rsidR="008F7A87" w:rsidRDefault="00073131">
      <w:pPr>
        <w:jc w:val="center"/>
        <w:rPr>
          <w:rFonts w:ascii="Arial" w:eastAsia="Arial" w:hAnsi="Arial" w:cs="Arial"/>
          <w:sz w:val="47"/>
          <w:szCs w:val="47"/>
        </w:rPr>
      </w:pPr>
      <w:r>
        <w:rPr>
          <w:rFonts w:ascii="Arial" w:eastAsia="Arial" w:hAnsi="Arial" w:cs="Arial"/>
          <w:sz w:val="47"/>
          <w:szCs w:val="47"/>
        </w:rPr>
        <w:t>Riscos Fiscais</w:t>
      </w:r>
    </w:p>
    <w:p w:rsidR="008F7A87" w:rsidRDefault="008F7A87">
      <w:pPr>
        <w:jc w:val="center"/>
        <w:rPr>
          <w:rFonts w:ascii="Arial" w:eastAsia="Arial" w:hAnsi="Arial" w:cs="Arial"/>
          <w:sz w:val="47"/>
          <w:szCs w:val="47"/>
        </w:rPr>
      </w:pPr>
    </w:p>
    <w:p w:rsidR="008F7A87" w:rsidRDefault="008F7A87">
      <w:pPr>
        <w:jc w:val="center"/>
        <w:rPr>
          <w:rFonts w:ascii="Arial" w:eastAsia="Arial" w:hAnsi="Arial" w:cs="Arial"/>
          <w:sz w:val="47"/>
          <w:szCs w:val="47"/>
        </w:rPr>
      </w:pPr>
    </w:p>
    <w:p w:rsidR="008F7A87" w:rsidRDefault="008F7A87">
      <w:pPr>
        <w:jc w:val="center"/>
        <w:rPr>
          <w:rFonts w:ascii="Arial" w:eastAsia="Arial" w:hAnsi="Arial" w:cs="Arial"/>
          <w:sz w:val="47"/>
          <w:szCs w:val="47"/>
        </w:rPr>
      </w:pPr>
    </w:p>
    <w:p w:rsidR="008F7A87" w:rsidRDefault="008F7A87">
      <w:pPr>
        <w:jc w:val="center"/>
        <w:rPr>
          <w:rFonts w:ascii="Arial" w:eastAsia="Arial" w:hAnsi="Arial" w:cs="Arial"/>
          <w:sz w:val="47"/>
          <w:szCs w:val="47"/>
        </w:rPr>
      </w:pPr>
    </w:p>
    <w:p w:rsidR="008F7A87" w:rsidRDefault="00073131">
      <w:pPr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sz w:val="47"/>
          <w:szCs w:val="47"/>
        </w:rPr>
        <w:t>LDO 2024</w:t>
      </w: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073131">
      <w:pPr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LEI DE DIRETRIZES ORÇAMENTÁRIAS</w:t>
      </w:r>
    </w:p>
    <w:p w:rsidR="008F7A87" w:rsidRDefault="00073131">
      <w:pPr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2024</w:t>
      </w:r>
    </w:p>
    <w:p w:rsidR="008F7A87" w:rsidRDefault="00073131">
      <w:pPr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ANEXO III</w:t>
      </w:r>
    </w:p>
    <w:p w:rsidR="008F7A87" w:rsidRDefault="00073131">
      <w:pPr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RISCOS FISCAIS</w:t>
      </w: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8F7A87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8F7A87" w:rsidRDefault="000731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07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Em conformidade com o art. 4º, § 3º da Lei de Responsabilidade Fiscal (Lei Complementar n.º 101, de 04 de maio de 2000) e com o disposto nas Portarias da Secretaria do Tesouro Nacional de nº 1.447, de 14 de junho de 2022, apresenta-se o Anexo de Metas Risc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os do Município de </w:t>
      </w:r>
      <w:r w:rsidR="007D23C0">
        <w:rPr>
          <w:rFonts w:ascii="Arial" w:eastAsia="Arial" w:hAnsi="Arial" w:cs="Arial"/>
          <w:color w:val="000000"/>
          <w:sz w:val="22"/>
          <w:szCs w:val="22"/>
        </w:rPr>
        <w:t>Lima Duarte</w:t>
      </w:r>
      <w:r>
        <w:rPr>
          <w:rFonts w:ascii="Arial" w:eastAsia="Arial" w:hAnsi="Arial" w:cs="Arial"/>
          <w:color w:val="000000"/>
          <w:sz w:val="22"/>
          <w:szCs w:val="22"/>
        </w:rPr>
        <w:t>/MG.</w:t>
      </w:r>
    </w:p>
    <w:p w:rsidR="008F7A87" w:rsidRDefault="008F7A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8F7A87" w:rsidRDefault="008F7A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8F7A87" w:rsidRDefault="008F7A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9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182"/>
        <w:gridCol w:w="1522"/>
        <w:gridCol w:w="3540"/>
        <w:gridCol w:w="1684"/>
      </w:tblGrid>
      <w:tr w:rsidR="008F7A87">
        <w:trPr>
          <w:trHeight w:val="240"/>
        </w:trPr>
        <w:tc>
          <w:tcPr>
            <w:tcW w:w="992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vAlign w:val="bottom"/>
          </w:tcPr>
          <w:p w:rsidR="008F7A87" w:rsidRDefault="0007313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MUNICÍPIO DE </w:t>
            </w:r>
            <w:r w:rsidR="007D23C0">
              <w:rPr>
                <w:rFonts w:ascii="Arial" w:eastAsia="Arial" w:hAnsi="Arial" w:cs="Arial"/>
                <w:b/>
                <w:sz w:val="16"/>
                <w:szCs w:val="16"/>
              </w:rPr>
              <w:t>LIMA DUARTE</w:t>
            </w:r>
          </w:p>
        </w:tc>
      </w:tr>
      <w:tr w:rsidR="008F7A87">
        <w:trPr>
          <w:trHeight w:val="240"/>
        </w:trPr>
        <w:tc>
          <w:tcPr>
            <w:tcW w:w="9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7A87" w:rsidRDefault="00073131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LEI DE DIRETRIZES ORÇAMENTÁRIAS</w:t>
            </w:r>
          </w:p>
        </w:tc>
      </w:tr>
      <w:tr w:rsidR="008F7A87">
        <w:trPr>
          <w:trHeight w:val="240"/>
        </w:trPr>
        <w:tc>
          <w:tcPr>
            <w:tcW w:w="9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7A87" w:rsidRDefault="0007313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ANEXO DE RISCOS FISCAIS</w:t>
            </w:r>
          </w:p>
        </w:tc>
      </w:tr>
      <w:tr w:rsidR="008F7A87">
        <w:trPr>
          <w:trHeight w:val="240"/>
        </w:trPr>
        <w:tc>
          <w:tcPr>
            <w:tcW w:w="9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7A87" w:rsidRDefault="0007313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Demonstrativo de Riscos Fiscais e Providências</w:t>
            </w:r>
          </w:p>
        </w:tc>
      </w:tr>
      <w:tr w:rsidR="008F7A87">
        <w:trPr>
          <w:trHeight w:val="240"/>
        </w:trPr>
        <w:tc>
          <w:tcPr>
            <w:tcW w:w="9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7A87" w:rsidRDefault="00073131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202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</w:tr>
      <w:tr w:rsidR="008F7A87">
        <w:trPr>
          <w:trHeight w:val="240"/>
        </w:trPr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7A87" w:rsidRDefault="00073131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7A87" w:rsidRDefault="00073131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7A87" w:rsidRDefault="00073131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7A87" w:rsidRDefault="00073131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F7A87">
        <w:trPr>
          <w:trHeight w:val="240"/>
        </w:trPr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7A87" w:rsidRDefault="00073131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7A87" w:rsidRDefault="00073131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7A87" w:rsidRDefault="00073131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7A87" w:rsidRDefault="00073131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F7A87">
        <w:trPr>
          <w:trHeight w:val="240"/>
        </w:trPr>
        <w:tc>
          <w:tcPr>
            <w:tcW w:w="470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F7A87" w:rsidRDefault="00073131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ARF (LRF,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art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4º, § 3º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)</w:t>
            </w:r>
            <w:proofErr w:type="gramEnd"/>
          </w:p>
        </w:tc>
        <w:tc>
          <w:tcPr>
            <w:tcW w:w="52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F7A87" w:rsidRDefault="00073131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F7A87">
        <w:trPr>
          <w:trHeight w:val="240"/>
        </w:trPr>
        <w:tc>
          <w:tcPr>
            <w:tcW w:w="4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7A87" w:rsidRDefault="00073131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PASSIVOS CONTINGENTES</w:t>
            </w:r>
          </w:p>
        </w:tc>
        <w:tc>
          <w:tcPr>
            <w:tcW w:w="52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F7A87" w:rsidRDefault="00073131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PROVIDÊNCIAS</w:t>
            </w:r>
          </w:p>
        </w:tc>
      </w:tr>
      <w:tr w:rsidR="008F7A87">
        <w:trPr>
          <w:trHeight w:val="240"/>
        </w:trPr>
        <w:tc>
          <w:tcPr>
            <w:tcW w:w="3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7A87" w:rsidRDefault="00073131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7A87" w:rsidRDefault="00073131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Valor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7A87" w:rsidRDefault="00073131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F7A87" w:rsidRDefault="00073131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Valor</w:t>
            </w:r>
          </w:p>
        </w:tc>
      </w:tr>
      <w:tr w:rsidR="007D23C0">
        <w:trPr>
          <w:trHeight w:val="240"/>
        </w:trPr>
        <w:tc>
          <w:tcPr>
            <w:tcW w:w="31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Demandas judiciais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100.000 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Abertura de créditos adicionais a partir do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D23C0">
        <w:trPr>
          <w:trHeight w:val="240"/>
        </w:trPr>
        <w:tc>
          <w:tcPr>
            <w:tcW w:w="31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Dívidas em processo de reconhecimento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- 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cancelamento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de dotação de despesas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D23C0">
        <w:trPr>
          <w:trHeight w:val="240"/>
        </w:trPr>
        <w:tc>
          <w:tcPr>
            <w:tcW w:w="31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Avais e garantias concedidas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discricionárias</w:t>
            </w:r>
            <w:proofErr w:type="gramEnd"/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- </w:t>
            </w:r>
          </w:p>
        </w:tc>
      </w:tr>
      <w:tr w:rsidR="007D23C0">
        <w:trPr>
          <w:trHeight w:val="240"/>
        </w:trPr>
        <w:tc>
          <w:tcPr>
            <w:tcW w:w="31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Assunção de passivos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Abertura de créditos adicionais a partir da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D23C0">
        <w:trPr>
          <w:trHeight w:val="240"/>
        </w:trPr>
        <w:tc>
          <w:tcPr>
            <w:tcW w:w="31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Assistências diversas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Reserva de Contingência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150.000 </w:t>
            </w:r>
          </w:p>
        </w:tc>
      </w:tr>
      <w:tr w:rsidR="007D23C0">
        <w:trPr>
          <w:trHeight w:val="240"/>
        </w:trPr>
        <w:tc>
          <w:tcPr>
            <w:tcW w:w="31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Outros passivos contingentes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50.000 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D23C0">
        <w:trPr>
          <w:trHeight w:val="240"/>
        </w:trPr>
        <w:tc>
          <w:tcPr>
            <w:tcW w:w="3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SUBTOTAL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150.000 </w:t>
            </w:r>
          </w:p>
        </w:tc>
        <w:tc>
          <w:tcPr>
            <w:tcW w:w="3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SUBTOTAL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D23C0" w:rsidRDefault="007D23C0" w:rsidP="007D23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150.000 </w:t>
            </w:r>
          </w:p>
        </w:tc>
      </w:tr>
      <w:tr w:rsidR="008F7A87">
        <w:trPr>
          <w:trHeight w:val="240"/>
        </w:trPr>
        <w:tc>
          <w:tcPr>
            <w:tcW w:w="4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7A87" w:rsidRDefault="00073131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DEMAIS RISCOS FISCAIS PASSIVOS</w:t>
            </w:r>
          </w:p>
        </w:tc>
        <w:tc>
          <w:tcPr>
            <w:tcW w:w="52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F7A87" w:rsidRDefault="00073131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PROVIDÊNCIAS</w:t>
            </w:r>
          </w:p>
        </w:tc>
      </w:tr>
      <w:tr w:rsidR="008F7A87">
        <w:trPr>
          <w:trHeight w:val="240"/>
        </w:trPr>
        <w:tc>
          <w:tcPr>
            <w:tcW w:w="3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7A87" w:rsidRDefault="00073131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7A87" w:rsidRDefault="00073131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Valor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7A87" w:rsidRDefault="00073131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F7A87" w:rsidRDefault="00073131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Valor</w:t>
            </w:r>
          </w:p>
        </w:tc>
      </w:tr>
      <w:tr w:rsidR="007D23C0">
        <w:trPr>
          <w:trHeight w:val="240"/>
        </w:trPr>
        <w:tc>
          <w:tcPr>
            <w:tcW w:w="31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Frustração de arrecadação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Abertura de créditos adicionais a partir do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D23C0">
        <w:trPr>
          <w:trHeight w:val="240"/>
        </w:trPr>
        <w:tc>
          <w:tcPr>
            <w:tcW w:w="31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Restituição de tributos a maior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5.000 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cancelamento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de dotação de despesas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D23C0">
        <w:trPr>
          <w:trHeight w:val="240"/>
        </w:trPr>
        <w:tc>
          <w:tcPr>
            <w:tcW w:w="31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Discrepância de projeções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discricionárias</w:t>
            </w:r>
            <w:proofErr w:type="gramEnd"/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D23C0">
        <w:trPr>
          <w:trHeight w:val="240"/>
        </w:trPr>
        <w:tc>
          <w:tcPr>
            <w:tcW w:w="31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>Outros Riscos Fiscais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Abertura de créditos adicionais a partir da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D23C0">
        <w:trPr>
          <w:trHeight w:val="240"/>
        </w:trPr>
        <w:tc>
          <w:tcPr>
            <w:tcW w:w="31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Reserva de Contingência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5.000 </w:t>
            </w:r>
          </w:p>
        </w:tc>
      </w:tr>
      <w:tr w:rsidR="007D23C0">
        <w:trPr>
          <w:trHeight w:val="240"/>
        </w:trPr>
        <w:tc>
          <w:tcPr>
            <w:tcW w:w="3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SUBTOTAL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5.000 </w:t>
            </w:r>
          </w:p>
        </w:tc>
        <w:tc>
          <w:tcPr>
            <w:tcW w:w="3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SUBTOTAL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D23C0" w:rsidRDefault="007D23C0" w:rsidP="007D23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5.000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proofErr w:type="gramEnd"/>
      </w:tr>
      <w:tr w:rsidR="007D23C0">
        <w:trPr>
          <w:trHeight w:val="240"/>
        </w:trPr>
        <w:tc>
          <w:tcPr>
            <w:tcW w:w="3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155.000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3C0" w:rsidRDefault="007D23C0" w:rsidP="007D23C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D23C0" w:rsidRDefault="007D23C0" w:rsidP="007D23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155.000 </w:t>
            </w:r>
          </w:p>
        </w:tc>
      </w:tr>
    </w:tbl>
    <w:p w:rsidR="008F7A87" w:rsidRDefault="008F7A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sectPr w:rsidR="008F7A87">
      <w:headerReference w:type="default" r:id="rId8"/>
      <w:pgSz w:w="11906" w:h="16838"/>
      <w:pgMar w:top="1418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131" w:rsidRDefault="00073131" w:rsidP="001932A1">
      <w:r>
        <w:separator/>
      </w:r>
    </w:p>
  </w:endnote>
  <w:endnote w:type="continuationSeparator" w:id="0">
    <w:p w:rsidR="00073131" w:rsidRDefault="00073131" w:rsidP="0019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131" w:rsidRDefault="00073131" w:rsidP="001932A1">
      <w:r>
        <w:separator/>
      </w:r>
    </w:p>
  </w:footnote>
  <w:footnote w:type="continuationSeparator" w:id="0">
    <w:p w:rsidR="00073131" w:rsidRDefault="00073131" w:rsidP="00193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2A1" w:rsidRPr="00310E84" w:rsidRDefault="001932A1" w:rsidP="001932A1">
    <w:pPr>
      <w:pStyle w:val="Ttulo"/>
      <w:jc w:val="center"/>
      <w:rPr>
        <w:rFonts w:ascii="Arial" w:eastAsia="Arial" w:hAnsi="Arial" w:cs="Arial"/>
        <w:bCs/>
        <w:i/>
        <w:iCs/>
        <w:sz w:val="42"/>
        <w:szCs w:val="42"/>
        <w:lang w:val="pt-PT" w:eastAsia="en-US"/>
      </w:rPr>
    </w:pPr>
    <w:r w:rsidRPr="00310E84">
      <w:rPr>
        <w:rFonts w:ascii="Arial" w:eastAsia="Arial" w:hAnsi="Arial" w:cs="Arial"/>
        <w:bCs/>
        <w:i/>
        <w:iCs/>
        <w:noProof/>
        <w:sz w:val="42"/>
        <w:szCs w:val="42"/>
      </w:rPr>
      <w:drawing>
        <wp:anchor distT="0" distB="0" distL="0" distR="0" simplePos="0" relativeHeight="251659264" behindDoc="0" locked="0" layoutInCell="1" allowOverlap="1" wp14:anchorId="3F310256" wp14:editId="56337475">
          <wp:simplePos x="0" y="0"/>
          <wp:positionH relativeFrom="page">
            <wp:posOffset>584835</wp:posOffset>
          </wp:positionH>
          <wp:positionV relativeFrom="paragraph">
            <wp:posOffset>241300</wp:posOffset>
          </wp:positionV>
          <wp:extent cx="599973" cy="647065"/>
          <wp:effectExtent l="0" t="0" r="0" b="63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9973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10E84">
      <w:rPr>
        <w:rFonts w:ascii="Arial" w:eastAsia="Arial" w:hAnsi="Arial" w:cs="Arial"/>
        <w:bCs/>
        <w:i/>
        <w:iCs/>
        <w:w w:val="90"/>
        <w:sz w:val="42"/>
        <w:szCs w:val="42"/>
        <w:lang w:val="pt-PT" w:eastAsia="en-US"/>
      </w:rPr>
      <w:t>Prefeitura</w:t>
    </w:r>
    <w:r w:rsidRPr="00310E84">
      <w:rPr>
        <w:rFonts w:ascii="Arial" w:eastAsia="Arial" w:hAnsi="Arial" w:cs="Arial"/>
        <w:bCs/>
        <w:i/>
        <w:iCs/>
        <w:spacing w:val="-4"/>
        <w:w w:val="90"/>
        <w:sz w:val="42"/>
        <w:szCs w:val="42"/>
        <w:lang w:val="pt-PT" w:eastAsia="en-US"/>
      </w:rPr>
      <w:t xml:space="preserve"> </w:t>
    </w:r>
    <w:r w:rsidRPr="00310E84">
      <w:rPr>
        <w:rFonts w:ascii="Arial" w:eastAsia="Arial" w:hAnsi="Arial" w:cs="Arial"/>
        <w:bCs/>
        <w:i/>
        <w:iCs/>
        <w:w w:val="90"/>
        <w:sz w:val="42"/>
        <w:szCs w:val="42"/>
        <w:lang w:val="pt-PT" w:eastAsia="en-US"/>
      </w:rPr>
      <w:t>Municipal</w:t>
    </w:r>
    <w:r w:rsidRPr="00310E84">
      <w:rPr>
        <w:rFonts w:ascii="Arial" w:eastAsia="Arial" w:hAnsi="Arial" w:cs="Arial"/>
        <w:bCs/>
        <w:i/>
        <w:iCs/>
        <w:spacing w:val="-4"/>
        <w:w w:val="90"/>
        <w:sz w:val="42"/>
        <w:szCs w:val="42"/>
        <w:lang w:val="pt-PT" w:eastAsia="en-US"/>
      </w:rPr>
      <w:t xml:space="preserve"> </w:t>
    </w:r>
    <w:r w:rsidRPr="00310E84">
      <w:rPr>
        <w:rFonts w:ascii="Arial" w:eastAsia="Arial" w:hAnsi="Arial" w:cs="Arial"/>
        <w:bCs/>
        <w:i/>
        <w:iCs/>
        <w:w w:val="90"/>
        <w:sz w:val="42"/>
        <w:szCs w:val="42"/>
        <w:lang w:val="pt-PT" w:eastAsia="en-US"/>
      </w:rPr>
      <w:t>de</w:t>
    </w:r>
    <w:r w:rsidRPr="00310E84">
      <w:rPr>
        <w:rFonts w:ascii="Arial" w:eastAsia="Arial" w:hAnsi="Arial" w:cs="Arial"/>
        <w:bCs/>
        <w:i/>
        <w:iCs/>
        <w:spacing w:val="-5"/>
        <w:w w:val="90"/>
        <w:sz w:val="42"/>
        <w:szCs w:val="42"/>
        <w:lang w:val="pt-PT" w:eastAsia="en-US"/>
      </w:rPr>
      <w:t xml:space="preserve"> </w:t>
    </w:r>
    <w:r w:rsidRPr="00310E84">
      <w:rPr>
        <w:rFonts w:ascii="Arial" w:eastAsia="Arial" w:hAnsi="Arial" w:cs="Arial"/>
        <w:bCs/>
        <w:i/>
        <w:iCs/>
        <w:w w:val="90"/>
        <w:sz w:val="42"/>
        <w:szCs w:val="42"/>
        <w:lang w:val="pt-PT" w:eastAsia="en-US"/>
      </w:rPr>
      <w:t>Lima</w:t>
    </w:r>
    <w:r w:rsidRPr="00310E84">
      <w:rPr>
        <w:rFonts w:ascii="Arial" w:eastAsia="Arial" w:hAnsi="Arial" w:cs="Arial"/>
        <w:bCs/>
        <w:i/>
        <w:iCs/>
        <w:spacing w:val="-4"/>
        <w:w w:val="90"/>
        <w:sz w:val="42"/>
        <w:szCs w:val="42"/>
        <w:lang w:val="pt-PT" w:eastAsia="en-US"/>
      </w:rPr>
      <w:t xml:space="preserve"> </w:t>
    </w:r>
    <w:r w:rsidRPr="00310E84">
      <w:rPr>
        <w:rFonts w:ascii="Arial" w:eastAsia="Arial" w:hAnsi="Arial" w:cs="Arial"/>
        <w:bCs/>
        <w:i/>
        <w:iCs/>
        <w:w w:val="90"/>
        <w:sz w:val="42"/>
        <w:szCs w:val="42"/>
        <w:lang w:val="pt-PT" w:eastAsia="en-US"/>
      </w:rPr>
      <w:t>Duarte</w:t>
    </w:r>
    <w:r w:rsidRPr="00310E84">
      <w:rPr>
        <w:rFonts w:ascii="Arial" w:eastAsia="Arial" w:hAnsi="Arial" w:cs="Arial"/>
        <w:bCs/>
        <w:i/>
        <w:iCs/>
        <w:spacing w:val="-3"/>
        <w:w w:val="90"/>
        <w:sz w:val="42"/>
        <w:szCs w:val="42"/>
        <w:lang w:val="pt-PT" w:eastAsia="en-US"/>
      </w:rPr>
      <w:t xml:space="preserve"> </w:t>
    </w:r>
    <w:r w:rsidRPr="00310E84">
      <w:rPr>
        <w:rFonts w:ascii="Arial" w:eastAsia="Arial" w:hAnsi="Arial" w:cs="Arial"/>
        <w:bCs/>
        <w:i/>
        <w:iCs/>
        <w:w w:val="90"/>
        <w:sz w:val="42"/>
        <w:szCs w:val="42"/>
        <w:lang w:val="pt-PT" w:eastAsia="en-US"/>
      </w:rPr>
      <w:t>–</w:t>
    </w:r>
    <w:r w:rsidRPr="00310E84">
      <w:rPr>
        <w:rFonts w:ascii="Arial" w:eastAsia="Arial" w:hAnsi="Arial" w:cs="Arial"/>
        <w:bCs/>
        <w:i/>
        <w:iCs/>
        <w:spacing w:val="-4"/>
        <w:w w:val="90"/>
        <w:sz w:val="42"/>
        <w:szCs w:val="42"/>
        <w:lang w:val="pt-PT" w:eastAsia="en-US"/>
      </w:rPr>
      <w:t xml:space="preserve"> </w:t>
    </w:r>
    <w:r w:rsidRPr="00310E84">
      <w:rPr>
        <w:rFonts w:ascii="Arial" w:eastAsia="Arial" w:hAnsi="Arial" w:cs="Arial"/>
        <w:bCs/>
        <w:i/>
        <w:iCs/>
        <w:w w:val="90"/>
        <w:sz w:val="42"/>
        <w:szCs w:val="42"/>
        <w:lang w:val="pt-PT" w:eastAsia="en-US"/>
      </w:rPr>
      <w:t>MG</w:t>
    </w:r>
  </w:p>
  <w:p w:rsidR="001932A1" w:rsidRPr="00310E84" w:rsidRDefault="001932A1" w:rsidP="001932A1">
    <w:pPr>
      <w:widowControl w:val="0"/>
      <w:autoSpaceDE w:val="0"/>
      <w:autoSpaceDN w:val="0"/>
      <w:spacing w:before="161"/>
      <w:ind w:left="1097" w:right="388"/>
      <w:jc w:val="center"/>
      <w:rPr>
        <w:rFonts w:ascii="Arial" w:eastAsia="Cambria" w:hAnsi="Arial" w:cs="Cambria"/>
        <w:i/>
        <w:sz w:val="23"/>
        <w:szCs w:val="22"/>
        <w:lang w:val="pt-PT" w:eastAsia="en-US"/>
      </w:rPr>
    </w:pPr>
    <w:r w:rsidRPr="00310E84">
      <w:rPr>
        <w:rFonts w:ascii="Arial" w:eastAsia="Cambria" w:hAnsi="Arial" w:cs="Cambria"/>
        <w:i/>
        <w:w w:val="95"/>
        <w:sz w:val="23"/>
        <w:szCs w:val="22"/>
        <w:lang w:val="pt-PT" w:eastAsia="en-US"/>
      </w:rPr>
      <w:t>Praça Juscelino Kubitschek,</w:t>
    </w:r>
    <w:r w:rsidRPr="00310E84">
      <w:rPr>
        <w:rFonts w:ascii="Arial" w:eastAsia="Cambria" w:hAnsi="Arial" w:cs="Cambria"/>
        <w:i/>
        <w:spacing w:val="2"/>
        <w:w w:val="95"/>
        <w:sz w:val="23"/>
        <w:szCs w:val="22"/>
        <w:lang w:val="pt-PT" w:eastAsia="en-US"/>
      </w:rPr>
      <w:t xml:space="preserve"> </w:t>
    </w:r>
    <w:r w:rsidRPr="00310E84">
      <w:rPr>
        <w:rFonts w:ascii="Arial" w:eastAsia="Cambria" w:hAnsi="Arial" w:cs="Cambria"/>
        <w:i/>
        <w:w w:val="95"/>
        <w:sz w:val="23"/>
        <w:szCs w:val="22"/>
        <w:lang w:val="pt-PT" w:eastAsia="en-US"/>
      </w:rPr>
      <w:t>173 –</w:t>
    </w:r>
    <w:r w:rsidRPr="00310E84">
      <w:rPr>
        <w:rFonts w:ascii="Arial" w:eastAsia="Cambria" w:hAnsi="Arial" w:cs="Cambria"/>
        <w:i/>
        <w:spacing w:val="-1"/>
        <w:w w:val="95"/>
        <w:sz w:val="23"/>
        <w:szCs w:val="22"/>
        <w:lang w:val="pt-PT" w:eastAsia="en-US"/>
      </w:rPr>
      <w:t xml:space="preserve"> </w:t>
    </w:r>
    <w:r w:rsidRPr="00310E84">
      <w:rPr>
        <w:rFonts w:ascii="Arial" w:eastAsia="Cambria" w:hAnsi="Arial" w:cs="Cambria"/>
        <w:i/>
        <w:w w:val="95"/>
        <w:sz w:val="23"/>
        <w:szCs w:val="22"/>
        <w:lang w:val="pt-PT" w:eastAsia="en-US"/>
      </w:rPr>
      <w:t>Centro</w:t>
    </w:r>
    <w:r w:rsidRPr="00310E84">
      <w:rPr>
        <w:rFonts w:ascii="Arial" w:eastAsia="Cambria" w:hAnsi="Arial" w:cs="Cambria"/>
        <w:i/>
        <w:spacing w:val="-1"/>
        <w:w w:val="95"/>
        <w:sz w:val="23"/>
        <w:szCs w:val="22"/>
        <w:lang w:val="pt-PT" w:eastAsia="en-US"/>
      </w:rPr>
      <w:t xml:space="preserve"> </w:t>
    </w:r>
    <w:r w:rsidRPr="00310E84">
      <w:rPr>
        <w:rFonts w:ascii="Arial" w:eastAsia="Cambria" w:hAnsi="Arial" w:cs="Cambria"/>
        <w:i/>
        <w:w w:val="95"/>
        <w:sz w:val="23"/>
        <w:szCs w:val="22"/>
        <w:lang w:val="pt-PT" w:eastAsia="en-US"/>
      </w:rPr>
      <w:t>–</w:t>
    </w:r>
    <w:r w:rsidRPr="00310E84">
      <w:rPr>
        <w:rFonts w:ascii="Arial" w:eastAsia="Cambria" w:hAnsi="Arial" w:cs="Cambria"/>
        <w:i/>
        <w:spacing w:val="-1"/>
        <w:w w:val="95"/>
        <w:sz w:val="23"/>
        <w:szCs w:val="22"/>
        <w:lang w:val="pt-PT" w:eastAsia="en-US"/>
      </w:rPr>
      <w:t xml:space="preserve"> </w:t>
    </w:r>
    <w:r w:rsidRPr="00310E84">
      <w:rPr>
        <w:rFonts w:ascii="Arial" w:eastAsia="Cambria" w:hAnsi="Arial" w:cs="Cambria"/>
        <w:i/>
        <w:w w:val="95"/>
        <w:sz w:val="23"/>
        <w:szCs w:val="22"/>
        <w:lang w:val="pt-PT" w:eastAsia="en-US"/>
      </w:rPr>
      <w:t>36.140-000</w:t>
    </w:r>
    <w:r w:rsidRPr="00310E84">
      <w:rPr>
        <w:rFonts w:ascii="Arial" w:eastAsia="Cambria" w:hAnsi="Arial" w:cs="Cambria"/>
        <w:i/>
        <w:spacing w:val="-2"/>
        <w:w w:val="95"/>
        <w:sz w:val="23"/>
        <w:szCs w:val="22"/>
        <w:lang w:val="pt-PT" w:eastAsia="en-US"/>
      </w:rPr>
      <w:t xml:space="preserve"> </w:t>
    </w:r>
    <w:r w:rsidRPr="00310E84">
      <w:rPr>
        <w:rFonts w:ascii="Arial" w:eastAsia="Cambria" w:hAnsi="Arial" w:cs="Cambria"/>
        <w:i/>
        <w:w w:val="95"/>
        <w:sz w:val="23"/>
        <w:szCs w:val="22"/>
        <w:lang w:val="pt-PT" w:eastAsia="en-US"/>
      </w:rPr>
      <w:t>-</w:t>
    </w:r>
    <w:r w:rsidRPr="00310E84">
      <w:rPr>
        <w:rFonts w:ascii="Arial" w:eastAsia="Cambria" w:hAnsi="Arial" w:cs="Cambria"/>
        <w:i/>
        <w:spacing w:val="2"/>
        <w:w w:val="95"/>
        <w:sz w:val="23"/>
        <w:szCs w:val="22"/>
        <w:lang w:val="pt-PT" w:eastAsia="en-US"/>
      </w:rPr>
      <w:t xml:space="preserve"> </w:t>
    </w:r>
    <w:r w:rsidRPr="00310E84">
      <w:rPr>
        <w:rFonts w:ascii="Arial" w:eastAsia="Cambria" w:hAnsi="Arial" w:cs="Cambria"/>
        <w:i/>
        <w:w w:val="95"/>
        <w:sz w:val="23"/>
        <w:szCs w:val="22"/>
        <w:lang w:val="pt-PT" w:eastAsia="en-US"/>
      </w:rPr>
      <w:t>Telefone: (32)</w:t>
    </w:r>
    <w:r w:rsidRPr="00310E84">
      <w:rPr>
        <w:rFonts w:ascii="Arial" w:eastAsia="Cambria" w:hAnsi="Arial" w:cs="Cambria"/>
        <w:i/>
        <w:spacing w:val="-1"/>
        <w:w w:val="95"/>
        <w:sz w:val="23"/>
        <w:szCs w:val="22"/>
        <w:lang w:val="pt-PT" w:eastAsia="en-US"/>
      </w:rPr>
      <w:t xml:space="preserve"> </w:t>
    </w:r>
    <w:r w:rsidRPr="00310E84">
      <w:rPr>
        <w:rFonts w:ascii="Arial" w:eastAsia="Cambria" w:hAnsi="Arial" w:cs="Cambria"/>
        <w:i/>
        <w:w w:val="95"/>
        <w:sz w:val="23"/>
        <w:szCs w:val="22"/>
        <w:lang w:val="pt-PT" w:eastAsia="en-US"/>
      </w:rPr>
      <w:t>3281-</w:t>
    </w:r>
    <w:proofErr w:type="gramStart"/>
    <w:r w:rsidRPr="00310E84">
      <w:rPr>
        <w:rFonts w:ascii="Arial" w:eastAsia="Cambria" w:hAnsi="Arial" w:cs="Cambria"/>
        <w:i/>
        <w:w w:val="95"/>
        <w:sz w:val="23"/>
        <w:szCs w:val="22"/>
        <w:lang w:val="pt-PT" w:eastAsia="en-US"/>
      </w:rPr>
      <w:t>1810</w:t>
    </w:r>
    <w:proofErr w:type="gramEnd"/>
  </w:p>
  <w:p w:rsidR="001932A1" w:rsidRDefault="001932A1">
    <w:pPr>
      <w:pStyle w:val="Cabealho"/>
    </w:pPr>
  </w:p>
  <w:p w:rsidR="001932A1" w:rsidRDefault="001932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A87"/>
    <w:rsid w:val="00073131"/>
    <w:rsid w:val="001932A1"/>
    <w:rsid w:val="007D23C0"/>
    <w:rsid w:val="008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BF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157C23"/>
    <w:pPr>
      <w:autoSpaceDE w:val="0"/>
      <w:autoSpaceDN w:val="0"/>
      <w:adjustRightInd w:val="0"/>
    </w:pPr>
    <w:rPr>
      <w:color w:val="000000"/>
    </w:rPr>
  </w:style>
  <w:style w:type="paragraph" w:styleId="NormalWeb">
    <w:name w:val="Normal (Web)"/>
    <w:basedOn w:val="Normal"/>
    <w:rsid w:val="004A167B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440E77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932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32A1"/>
  </w:style>
  <w:style w:type="paragraph" w:styleId="Rodap">
    <w:name w:val="footer"/>
    <w:basedOn w:val="Normal"/>
    <w:link w:val="RodapChar"/>
    <w:uiPriority w:val="99"/>
    <w:unhideWhenUsed/>
    <w:rsid w:val="001932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32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BF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157C23"/>
    <w:pPr>
      <w:autoSpaceDE w:val="0"/>
      <w:autoSpaceDN w:val="0"/>
      <w:adjustRightInd w:val="0"/>
    </w:pPr>
    <w:rPr>
      <w:color w:val="000000"/>
    </w:rPr>
  </w:style>
  <w:style w:type="paragraph" w:styleId="NormalWeb">
    <w:name w:val="Normal (Web)"/>
    <w:basedOn w:val="Normal"/>
    <w:rsid w:val="004A167B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440E77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932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32A1"/>
  </w:style>
  <w:style w:type="paragraph" w:styleId="Rodap">
    <w:name w:val="footer"/>
    <w:basedOn w:val="Normal"/>
    <w:link w:val="RodapChar"/>
    <w:uiPriority w:val="99"/>
    <w:unhideWhenUsed/>
    <w:rsid w:val="001932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3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eqhi1uImjwpiKmmywFaUz5aYBag==">AMUW2mV3n2qNKYHPo4VRuZYGYVWj1YGrfiL1Wy8VGZAx4gCAW1q5n5fnhYFkVuJ0YS3mmew4OCb6lNGFsYQ1F565QOAIU45hhkXGKc9eAPujTEnNmPc1zqI=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Planejar</dc:creator>
  <cp:lastModifiedBy>Usuário do Windows</cp:lastModifiedBy>
  <cp:revision>3</cp:revision>
  <dcterms:created xsi:type="dcterms:W3CDTF">2021-04-06T13:56:00Z</dcterms:created>
  <dcterms:modified xsi:type="dcterms:W3CDTF">2023-05-15T19:32:00Z</dcterms:modified>
</cp:coreProperties>
</file>