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559B6" w14:textId="3650C2E5"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 xml:space="preserve">AVISO DE DISPENSA DE LICITAÇÃO N° </w:t>
      </w:r>
      <w:r w:rsidR="0026524D">
        <w:rPr>
          <w:sz w:val="32"/>
        </w:rPr>
        <w:t>3</w:t>
      </w:r>
      <w:r w:rsidR="009E72E8">
        <w:rPr>
          <w:sz w:val="32"/>
        </w:rPr>
        <w:t>3</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060C1FA6" w:rsidR="005A30E5" w:rsidRDefault="00543829">
            <w:pPr>
              <w:spacing w:after="0" w:line="259" w:lineRule="auto"/>
              <w:ind w:left="0" w:right="354" w:firstLine="0"/>
              <w:jc w:val="right"/>
            </w:pPr>
            <w:r w:rsidRPr="00DF3232">
              <w:rPr>
                <w:color w:val="auto"/>
                <w:sz w:val="20"/>
              </w:rPr>
              <w:t xml:space="preserve">Lima Duarte, </w:t>
            </w:r>
            <w:r w:rsidR="00DD54E7" w:rsidRPr="00213755">
              <w:rPr>
                <w:color w:val="FF0000"/>
                <w:sz w:val="20"/>
              </w:rPr>
              <w:t>16</w:t>
            </w:r>
            <w:r w:rsidRPr="00DF3232">
              <w:rPr>
                <w:color w:val="auto"/>
                <w:sz w:val="20"/>
              </w:rPr>
              <w:t xml:space="preserve"> de </w:t>
            </w:r>
            <w:r w:rsidR="00213755">
              <w:rPr>
                <w:color w:val="FF0000"/>
                <w:sz w:val="20"/>
              </w:rPr>
              <w:t>outubro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7CDC0518" w:rsidR="005A30E5" w:rsidRDefault="00543829">
            <w:pPr>
              <w:spacing w:after="0" w:line="259" w:lineRule="auto"/>
              <w:ind w:left="0" w:firstLine="0"/>
              <w:jc w:val="left"/>
            </w:pPr>
            <w:r>
              <w:rPr>
                <w:sz w:val="20"/>
              </w:rPr>
              <w:t xml:space="preserve">PROCESSO ADMINISTRATIVO: </w:t>
            </w:r>
            <w:r w:rsidR="00213755">
              <w:rPr>
                <w:sz w:val="20"/>
              </w:rPr>
              <w:t>3</w:t>
            </w:r>
            <w:r w:rsidR="009E72E8">
              <w:rPr>
                <w:sz w:val="20"/>
              </w:rPr>
              <w:t>7</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5C3ED470" w:rsidR="005A30E5" w:rsidRDefault="00543829">
            <w:pPr>
              <w:spacing w:after="0" w:line="259" w:lineRule="auto"/>
              <w:ind w:left="0" w:right="15" w:firstLine="0"/>
              <w:jc w:val="center"/>
            </w:pPr>
            <w:r w:rsidRPr="00DF3232">
              <w:rPr>
                <w:color w:val="auto"/>
                <w:sz w:val="20"/>
              </w:rPr>
              <w:t xml:space="preserve">Até dia </w:t>
            </w:r>
            <w:r w:rsidR="00DD54E7" w:rsidRPr="00510448">
              <w:rPr>
                <w:color w:val="FF0000"/>
                <w:sz w:val="20"/>
              </w:rPr>
              <w:t>20/09/2024</w:t>
            </w:r>
            <w:r w:rsidRPr="00510448">
              <w:rPr>
                <w:color w:val="FF0000"/>
                <w:sz w:val="20"/>
              </w:rPr>
              <w:t xml:space="preserve"> </w:t>
            </w:r>
            <w:r w:rsidRPr="00DF3232">
              <w:rPr>
                <w:color w:val="auto"/>
                <w:sz w:val="20"/>
              </w:rPr>
              <w:t xml:space="preserve">às 18h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26524D"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sz w:val="20"/>
          <w:szCs w:val="20"/>
        </w:rPr>
      </w:pPr>
      <w:r w:rsidRPr="0026524D">
        <w:rPr>
          <w:b/>
          <w:bCs/>
          <w:i/>
          <w:iCs/>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27391525" w:rsidR="005A30E5" w:rsidRPr="00731594"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rPr>
      </w:pPr>
      <w:r w:rsidRPr="00731594">
        <w:rPr>
          <w:b/>
          <w:bCs/>
        </w:rPr>
        <w:t xml:space="preserve">OBJETO: </w:t>
      </w:r>
      <w:r w:rsidR="0026524D">
        <w:t xml:space="preserve">Contratação de empresa especializada para </w:t>
      </w:r>
      <w:r w:rsidR="00E33B57">
        <w:t>fornecimento de aparelhos de telefonia móvel.</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49002DD2" w:rsidR="005A30E5" w:rsidRPr="00310816"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 xml:space="preserve">Anexo I - Termo de Referência </w:t>
      </w:r>
    </w:p>
    <w:p w14:paraId="24C4A1B0" w14:textId="4FFB9768" w:rsidR="005A30E5" w:rsidRPr="00310816"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 xml:space="preserve">Anexo II – Relação de Documentos de Habilitação </w:t>
      </w:r>
    </w:p>
    <w:p w14:paraId="3BFB7F59" w14:textId="34DF9FC3" w:rsidR="002D1739" w:rsidRPr="00310816"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Anexo III – Modelo de Planilha de Orçamento</w:t>
      </w:r>
    </w:p>
    <w:p w14:paraId="379BAD60" w14:textId="44EB80F6" w:rsidR="00510448" w:rsidRPr="00310816"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sz w:val="24"/>
          <w:szCs w:val="24"/>
        </w:rPr>
      </w:pPr>
      <w:r w:rsidRPr="00310816">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77777777" w:rsidR="0026524D" w:rsidRDefault="0026524D" w:rsidP="00AB7686">
      <w:pPr>
        <w:spacing w:after="0" w:line="259" w:lineRule="auto"/>
        <w:ind w:left="0" w:right="95" w:firstLine="0"/>
        <w:jc w:val="center"/>
        <w:rPr>
          <w:b/>
          <w:bCs/>
          <w:sz w:val="24"/>
        </w:rPr>
      </w:pPr>
    </w:p>
    <w:p w14:paraId="42A19D2C" w14:textId="77777777" w:rsidR="00E33B57" w:rsidRDefault="00E33B57" w:rsidP="00AB7686">
      <w:pPr>
        <w:spacing w:after="0" w:line="259" w:lineRule="auto"/>
        <w:ind w:left="0" w:right="95" w:firstLine="0"/>
        <w:jc w:val="center"/>
        <w:rPr>
          <w:b/>
          <w:bCs/>
          <w:sz w:val="24"/>
        </w:rPr>
      </w:pPr>
    </w:p>
    <w:p w14:paraId="16B63A83" w14:textId="77777777" w:rsidR="00E33B57" w:rsidRDefault="00E33B57" w:rsidP="00AB7686">
      <w:pPr>
        <w:spacing w:after="0" w:line="259" w:lineRule="auto"/>
        <w:ind w:left="0" w:right="95" w:firstLine="0"/>
        <w:jc w:val="center"/>
        <w:rPr>
          <w:b/>
          <w:bCs/>
          <w:sz w:val="24"/>
        </w:rPr>
      </w:pPr>
    </w:p>
    <w:p w14:paraId="7BB59622" w14:textId="66C1E3CD"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8D4CA8">
        <w:rPr>
          <w:b/>
          <w:bCs/>
          <w:sz w:val="24"/>
        </w:rPr>
        <w:t>3</w:t>
      </w:r>
      <w:r w:rsidR="00E33B57">
        <w:rPr>
          <w:b/>
          <w:bCs/>
          <w:sz w:val="24"/>
        </w:rPr>
        <w:t>3</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2602BED8"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00A841B9">
        <w:t xml:space="preserve"> </w:t>
      </w:r>
      <w:r w:rsidR="008D4CA8">
        <w:rPr>
          <w:color w:val="auto"/>
        </w:rPr>
        <w:t>3</w:t>
      </w:r>
      <w:r w:rsidR="00E33B57">
        <w:rPr>
          <w:color w:val="auto"/>
        </w:rPr>
        <w:t>3</w:t>
      </w:r>
      <w:r w:rsidR="003C033C" w:rsidRPr="00DD54E7">
        <w:rPr>
          <w:color w:val="auto"/>
        </w:rPr>
        <w:t>/2024</w:t>
      </w:r>
      <w:r w:rsidR="006F0B72" w:rsidRPr="00DD54E7">
        <w:rPr>
          <w:color w:val="auto"/>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3882A88C" w:rsidR="00521123" w:rsidRPr="00510448" w:rsidRDefault="00521123" w:rsidP="00A14E9F">
      <w:pPr>
        <w:spacing w:after="0" w:line="259" w:lineRule="auto"/>
        <w:ind w:right="81"/>
        <w:jc w:val="right"/>
        <w:rPr>
          <w:color w:val="FF0000"/>
        </w:rPr>
      </w:pPr>
      <w:r w:rsidRPr="00DF3232">
        <w:rPr>
          <w:color w:val="auto"/>
        </w:rPr>
        <w:t xml:space="preserve">Lima </w:t>
      </w:r>
      <w:r w:rsidRPr="00DD54E7">
        <w:rPr>
          <w:color w:val="auto"/>
        </w:rPr>
        <w:t xml:space="preserve">Duarte, </w:t>
      </w:r>
      <w:r w:rsidR="00DD54E7" w:rsidRPr="00510448">
        <w:rPr>
          <w:color w:val="FF0000"/>
        </w:rPr>
        <w:t>16</w:t>
      </w:r>
      <w:r w:rsidR="004A38BF" w:rsidRPr="00510448">
        <w:rPr>
          <w:color w:val="FF0000"/>
        </w:rPr>
        <w:t xml:space="preserve"> </w:t>
      </w:r>
      <w:r w:rsidRPr="00510448">
        <w:rPr>
          <w:color w:val="FF0000"/>
        </w:rPr>
        <w:t xml:space="preserve">de </w:t>
      </w:r>
      <w:r w:rsidR="00DD54E7" w:rsidRPr="00510448">
        <w:rPr>
          <w:color w:val="FF0000"/>
        </w:rPr>
        <w:t xml:space="preserve">setembro </w:t>
      </w:r>
      <w:r w:rsidRPr="00510448">
        <w:rPr>
          <w:color w:val="FF0000"/>
        </w:rPr>
        <w:t xml:space="preserve">de 2024.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5AB3D0B3" w14:textId="77777777" w:rsidR="008D4CA8" w:rsidRPr="004E74A9" w:rsidRDefault="008D4CA8" w:rsidP="008D4CA8">
      <w:pPr>
        <w:spacing w:line="360" w:lineRule="auto"/>
        <w:jc w:val="center"/>
        <w:rPr>
          <w:b/>
          <w:bCs/>
          <w:iCs/>
          <w:sz w:val="24"/>
        </w:rPr>
      </w:pPr>
      <w:r w:rsidRPr="00913B95">
        <w:rPr>
          <w:b/>
          <w:bCs/>
          <w:sz w:val="24"/>
        </w:rPr>
        <w:t>TERMO DE REFERÊNCIA</w:t>
      </w:r>
    </w:p>
    <w:p w14:paraId="3F5A3B25" w14:textId="77777777" w:rsidR="008D4CA8" w:rsidRPr="00913B95" w:rsidRDefault="008D4CA8" w:rsidP="008D4CA8">
      <w:pPr>
        <w:rPr>
          <w:b/>
          <w:bCs/>
          <w:sz w:val="24"/>
        </w:rPr>
      </w:pPr>
      <w:r w:rsidRPr="00913B95">
        <w:rPr>
          <w:b/>
          <w:bCs/>
          <w:sz w:val="24"/>
        </w:rPr>
        <w:t xml:space="preserve">1. Informações básicas </w:t>
      </w:r>
    </w:p>
    <w:p w14:paraId="039BC54C" w14:textId="77777777" w:rsidR="008D4CA8" w:rsidRPr="00913B95" w:rsidRDefault="008D4CA8" w:rsidP="008D4CA8">
      <w:pPr>
        <w:rPr>
          <w:sz w:val="24"/>
        </w:rPr>
      </w:pPr>
      <w:r w:rsidRPr="00913B95">
        <w:rPr>
          <w:sz w:val="24"/>
        </w:rPr>
        <w:t xml:space="preserve">Órgão: CÂMARA MUNICIPAL DE LIMA DUARTE (20.434.122/0001-01) </w:t>
      </w:r>
    </w:p>
    <w:p w14:paraId="09ECB9B2" w14:textId="641C1ACC" w:rsidR="008D4CA8" w:rsidRPr="00913B95" w:rsidRDefault="008D4CA8" w:rsidP="008D4CA8">
      <w:pPr>
        <w:rPr>
          <w:sz w:val="24"/>
        </w:rPr>
      </w:pPr>
      <w:r w:rsidRPr="00913B95">
        <w:rPr>
          <w:sz w:val="24"/>
        </w:rPr>
        <w:t xml:space="preserve">Nº do processo: </w:t>
      </w:r>
      <w:r>
        <w:rPr>
          <w:sz w:val="24"/>
        </w:rPr>
        <w:t>3</w:t>
      </w:r>
      <w:r w:rsidR="0026524D">
        <w:rPr>
          <w:sz w:val="24"/>
        </w:rPr>
        <w:t>6</w:t>
      </w:r>
      <w:r>
        <w:rPr>
          <w:sz w:val="24"/>
        </w:rPr>
        <w:t>/2024</w:t>
      </w:r>
      <w:r w:rsidRPr="00913B95">
        <w:rPr>
          <w:sz w:val="24"/>
        </w:rPr>
        <w:t xml:space="preserve"> </w:t>
      </w:r>
    </w:p>
    <w:p w14:paraId="599CA745" w14:textId="369D75EE" w:rsidR="008D4CA8" w:rsidRPr="00913B95" w:rsidRDefault="008D4CA8" w:rsidP="008D4CA8">
      <w:pPr>
        <w:rPr>
          <w:sz w:val="24"/>
        </w:rPr>
      </w:pPr>
      <w:r w:rsidRPr="00913B95">
        <w:rPr>
          <w:sz w:val="24"/>
        </w:rPr>
        <w:t xml:space="preserve">Categoria do TR: </w:t>
      </w:r>
      <w:r w:rsidR="00CD111D">
        <w:rPr>
          <w:sz w:val="24"/>
        </w:rPr>
        <w:t>Aquisição de material permanente</w:t>
      </w:r>
      <w:r w:rsidR="0026524D">
        <w:rPr>
          <w:sz w:val="24"/>
        </w:rPr>
        <w:t xml:space="preserve"> </w:t>
      </w:r>
    </w:p>
    <w:p w14:paraId="69C9F873" w14:textId="77777777" w:rsidR="008D4CA8" w:rsidRDefault="008D4CA8" w:rsidP="008D4CA8">
      <w:pPr>
        <w:rPr>
          <w:b/>
          <w:bCs/>
          <w:sz w:val="24"/>
        </w:rPr>
      </w:pPr>
    </w:p>
    <w:p w14:paraId="044D53AF" w14:textId="77777777" w:rsidR="008D4CA8" w:rsidRPr="00913B95" w:rsidRDefault="008D4CA8" w:rsidP="008D4CA8">
      <w:pPr>
        <w:rPr>
          <w:b/>
          <w:bCs/>
          <w:sz w:val="24"/>
        </w:rPr>
      </w:pPr>
      <w:r w:rsidRPr="00913B95">
        <w:rPr>
          <w:b/>
          <w:bCs/>
          <w:sz w:val="24"/>
        </w:rPr>
        <w:t xml:space="preserve">2. Definição do objeto  </w:t>
      </w:r>
    </w:p>
    <w:p w14:paraId="25901660" w14:textId="5A42C038" w:rsidR="008D4CA8" w:rsidRPr="00913B95" w:rsidRDefault="008D4CA8" w:rsidP="008D4CA8">
      <w:pPr>
        <w:rPr>
          <w:sz w:val="24"/>
        </w:rPr>
      </w:pPr>
      <w:r w:rsidRPr="00913B95">
        <w:rPr>
          <w:sz w:val="24"/>
        </w:rPr>
        <w:t>2.1. A presente licitação tem como objeto a</w:t>
      </w:r>
      <w:r>
        <w:rPr>
          <w:sz w:val="24"/>
        </w:rPr>
        <w:t xml:space="preserve"> contratação de </w:t>
      </w:r>
      <w:r w:rsidR="0026524D">
        <w:t xml:space="preserve">empresa especializada para </w:t>
      </w:r>
      <w:r w:rsidR="00CD111D">
        <w:t>fornecimento de aparelhos de telefonia móvel.</w:t>
      </w:r>
    </w:p>
    <w:p w14:paraId="044FC6DE" w14:textId="77777777" w:rsidR="008D4CA8" w:rsidRPr="00913B95" w:rsidRDefault="008D4CA8" w:rsidP="0026524D">
      <w:pPr>
        <w:ind w:left="0" w:firstLine="0"/>
        <w:rPr>
          <w:sz w:val="24"/>
          <w:highlight w:val="yellow"/>
        </w:rPr>
      </w:pPr>
    </w:p>
    <w:p w14:paraId="038CD7E4" w14:textId="77777777" w:rsidR="008D4CA8" w:rsidRPr="00913B95" w:rsidRDefault="008D4CA8" w:rsidP="008D4CA8">
      <w:pPr>
        <w:rPr>
          <w:b/>
          <w:bCs/>
          <w:sz w:val="24"/>
        </w:rPr>
      </w:pPr>
      <w:r w:rsidRPr="00913B95">
        <w:rPr>
          <w:b/>
          <w:bCs/>
          <w:sz w:val="24"/>
        </w:rPr>
        <w:t xml:space="preserve">3. Valor estimado </w:t>
      </w:r>
    </w:p>
    <w:p w14:paraId="4D4303DE" w14:textId="33B60BE0" w:rsidR="008D4CA8" w:rsidRDefault="008D4CA8" w:rsidP="008D4CA8">
      <w:pPr>
        <w:rPr>
          <w:sz w:val="24"/>
        </w:rPr>
      </w:pPr>
      <w:r w:rsidRPr="00913B95">
        <w:rPr>
          <w:sz w:val="24"/>
        </w:rPr>
        <w:t xml:space="preserve">3.1. O valor total estimado para a contratação que se pretende é de R$ </w:t>
      </w:r>
      <w:r w:rsidR="0026524D">
        <w:rPr>
          <w:sz w:val="24"/>
        </w:rPr>
        <w:t>2.658,00</w:t>
      </w:r>
      <w:r w:rsidRPr="00913B95">
        <w:rPr>
          <w:sz w:val="24"/>
        </w:rPr>
        <w:t xml:space="preserve"> (</w:t>
      </w:r>
      <w:r w:rsidR="0026524D">
        <w:rPr>
          <w:sz w:val="24"/>
        </w:rPr>
        <w:t>dois mil seiscentos e cinquenta e oito reais</w:t>
      </w:r>
      <w:r w:rsidRPr="00913B95">
        <w:rPr>
          <w:sz w:val="24"/>
        </w:rPr>
        <w:t>). Conforme descrito no mapa de cotação anexo.</w:t>
      </w:r>
    </w:p>
    <w:p w14:paraId="1EF844C6" w14:textId="77777777" w:rsidR="008D4CA8" w:rsidRPr="00913B95" w:rsidRDefault="008D4CA8" w:rsidP="008D4CA8">
      <w:pPr>
        <w:rPr>
          <w:sz w:val="24"/>
        </w:rPr>
      </w:pPr>
      <w:r w:rsidRPr="00913B95">
        <w:rPr>
          <w:sz w:val="24"/>
        </w:rPr>
        <w:t xml:space="preserve"> </w:t>
      </w:r>
    </w:p>
    <w:p w14:paraId="357333B3" w14:textId="77777777" w:rsidR="008D4CA8" w:rsidRPr="00913B95" w:rsidRDefault="008D4CA8" w:rsidP="008D4CA8">
      <w:pPr>
        <w:rPr>
          <w:b/>
          <w:bCs/>
          <w:sz w:val="24"/>
        </w:rPr>
      </w:pPr>
      <w:r w:rsidRPr="00913B95">
        <w:rPr>
          <w:b/>
          <w:bCs/>
          <w:sz w:val="24"/>
        </w:rPr>
        <w:t xml:space="preserve">4. Cronograma físico-financeiro </w:t>
      </w:r>
    </w:p>
    <w:p w14:paraId="1F9336B7" w14:textId="12CD2012" w:rsidR="008D4CA8" w:rsidRDefault="008D4CA8" w:rsidP="008D4CA8">
      <w:pPr>
        <w:rPr>
          <w:sz w:val="24"/>
        </w:rPr>
      </w:pPr>
      <w:r w:rsidRPr="00913B95">
        <w:rPr>
          <w:sz w:val="24"/>
        </w:rPr>
        <w:t>4.1. Não se aplica</w:t>
      </w:r>
      <w:r w:rsidR="0026524D">
        <w:rPr>
          <w:sz w:val="24"/>
        </w:rPr>
        <w:t xml:space="preserve">, já que os pagamentos serão realizados conforme a demanda. </w:t>
      </w:r>
    </w:p>
    <w:p w14:paraId="6DA6D867" w14:textId="77777777" w:rsidR="008D4CA8" w:rsidRPr="00913B95" w:rsidRDefault="008D4CA8" w:rsidP="008D4CA8">
      <w:pPr>
        <w:rPr>
          <w:sz w:val="24"/>
        </w:rPr>
      </w:pPr>
    </w:p>
    <w:p w14:paraId="34C8E406" w14:textId="77777777" w:rsidR="008D4CA8" w:rsidRPr="00913B95" w:rsidRDefault="008D4CA8" w:rsidP="008D4CA8">
      <w:pPr>
        <w:rPr>
          <w:b/>
          <w:bCs/>
          <w:sz w:val="24"/>
        </w:rPr>
      </w:pPr>
      <w:r w:rsidRPr="00913B95">
        <w:rPr>
          <w:b/>
          <w:bCs/>
          <w:sz w:val="24"/>
        </w:rPr>
        <w:t xml:space="preserve">5. Fundamentação da Necessidade da Contratação </w:t>
      </w:r>
    </w:p>
    <w:p w14:paraId="19BADAEC" w14:textId="77777777" w:rsidR="00CD424F" w:rsidRDefault="0026524D" w:rsidP="00CD424F">
      <w:pPr>
        <w:rPr>
          <w:sz w:val="24"/>
          <w:szCs w:val="24"/>
        </w:rPr>
      </w:pPr>
      <w:r w:rsidRPr="00CD424F">
        <w:rPr>
          <w:sz w:val="24"/>
          <w:szCs w:val="24"/>
        </w:rPr>
        <w:t xml:space="preserve">5.1. </w:t>
      </w:r>
      <w:r w:rsidR="00CD424F" w:rsidRPr="00CD424F">
        <w:rPr>
          <w:sz w:val="24"/>
          <w:szCs w:val="24"/>
        </w:rPr>
        <w:t>A aquisição de aparelhos celulares para os agentes políticos da Câmara Municipal de Lima Duarte se mostra como uma medida estratégica para modernizar a gestão pública e melhorar a qualidade dos serviços prestados à população. Essa iniciativa visa atender a múltiplos objetivos, que se complementam e reforçam a necessidade dessa aquisição.</w:t>
      </w:r>
    </w:p>
    <w:p w14:paraId="16813F1D" w14:textId="77777777" w:rsidR="00CD424F" w:rsidRPr="00CD424F" w:rsidRDefault="00CD424F" w:rsidP="00CD424F">
      <w:pPr>
        <w:pStyle w:val="PargrafodaLista"/>
        <w:numPr>
          <w:ilvl w:val="1"/>
          <w:numId w:val="31"/>
        </w:numPr>
        <w:ind w:left="0" w:firstLine="0"/>
        <w:jc w:val="both"/>
        <w:rPr>
          <w:rFonts w:ascii="Times New Roman" w:hAnsi="Times New Roman" w:cs="Times New Roman"/>
        </w:rPr>
      </w:pPr>
      <w:r w:rsidRPr="00CD424F">
        <w:rPr>
          <w:rFonts w:ascii="Times New Roman" w:hAnsi="Times New Roman" w:cs="Times New Roman"/>
        </w:rPr>
        <w:t>Com os celulares, os agentes políticos estarão mais conectados com os cidadãos, podendo atender a demandas e solicitações de forma mais rápida e eficiente. A possibilidade de realizar videoconferências e trocar informações em tempo real otimiza a gestão pública, agilizando processos e decisões.</w:t>
      </w:r>
    </w:p>
    <w:p w14:paraId="1338ECE1" w14:textId="77777777" w:rsidR="00CD424F" w:rsidRPr="00CD424F" w:rsidRDefault="00CD424F" w:rsidP="00CD424F">
      <w:pPr>
        <w:pStyle w:val="PargrafodaLista"/>
        <w:numPr>
          <w:ilvl w:val="1"/>
          <w:numId w:val="31"/>
        </w:numPr>
        <w:ind w:left="0" w:firstLine="0"/>
        <w:jc w:val="both"/>
        <w:rPr>
          <w:rFonts w:ascii="Times New Roman" w:hAnsi="Times New Roman" w:cs="Times New Roman"/>
        </w:rPr>
      </w:pPr>
      <w:r w:rsidRPr="00CD424F">
        <w:rPr>
          <w:rFonts w:ascii="Times New Roman" w:hAnsi="Times New Roman" w:cs="Times New Roman"/>
        </w:rPr>
        <w:t>A mobilidade proporcionada pelos celulares permite que os agentes políticos acessem documentos, e-mails e sistemas informatizados a qualquer momento e lugar, aumentando sua produtividade e agilizando a resolução de problemas. A tomada de decisões se torna mais eficiente, pois as informações necessárias estão sempre à disposição.</w:t>
      </w:r>
    </w:p>
    <w:p w14:paraId="157B12D9" w14:textId="77777777" w:rsidR="00CD424F" w:rsidRPr="00CD424F" w:rsidRDefault="00CD424F" w:rsidP="00CD424F">
      <w:pPr>
        <w:pStyle w:val="PargrafodaLista"/>
        <w:numPr>
          <w:ilvl w:val="1"/>
          <w:numId w:val="31"/>
        </w:numPr>
        <w:ind w:left="0" w:firstLine="0"/>
        <w:jc w:val="both"/>
        <w:rPr>
          <w:rFonts w:ascii="Times New Roman" w:hAnsi="Times New Roman" w:cs="Times New Roman"/>
        </w:rPr>
      </w:pPr>
      <w:r w:rsidRPr="00CD424F">
        <w:rPr>
          <w:rFonts w:ascii="Times New Roman" w:hAnsi="Times New Roman" w:cs="Times New Roman"/>
        </w:rPr>
        <w:t>Conclusão:</w:t>
      </w:r>
    </w:p>
    <w:p w14:paraId="1685A9D0" w14:textId="77777777" w:rsidR="00CD424F" w:rsidRPr="00CD424F" w:rsidRDefault="00CD424F" w:rsidP="00CD424F">
      <w:pPr>
        <w:pStyle w:val="PargrafodaLista"/>
        <w:numPr>
          <w:ilvl w:val="2"/>
          <w:numId w:val="31"/>
        </w:numPr>
        <w:ind w:left="0" w:firstLine="0"/>
        <w:jc w:val="both"/>
        <w:rPr>
          <w:rFonts w:ascii="Times New Roman" w:hAnsi="Times New Roman" w:cs="Times New Roman"/>
        </w:rPr>
      </w:pPr>
      <w:r w:rsidRPr="00CD424F">
        <w:rPr>
          <w:rFonts w:ascii="Times New Roman" w:hAnsi="Times New Roman" w:cs="Times New Roman"/>
        </w:rPr>
        <w:t>A aquisição de celulares para agentes políticos é um investimento estratégico que contribui para uma gestão pública mais eficiente, transparente e próxima da população. Os benefícios dessa iniciativa superam em muito os custos envolvidos, tornando-a uma medida fundamental para a modernização da administração pública.</w:t>
      </w:r>
    </w:p>
    <w:p w14:paraId="23B9E2C2" w14:textId="77777777" w:rsidR="00CD424F" w:rsidRPr="00CD424F" w:rsidRDefault="00CD424F" w:rsidP="00CD424F">
      <w:pPr>
        <w:pStyle w:val="PargrafodaLista"/>
        <w:numPr>
          <w:ilvl w:val="2"/>
          <w:numId w:val="31"/>
        </w:numPr>
        <w:ind w:left="0" w:firstLine="0"/>
        <w:jc w:val="both"/>
        <w:rPr>
          <w:rFonts w:ascii="Times New Roman" w:hAnsi="Times New Roman" w:cs="Times New Roman"/>
        </w:rPr>
      </w:pPr>
      <w:r w:rsidRPr="00CD424F">
        <w:rPr>
          <w:rFonts w:ascii="Times New Roman" w:hAnsi="Times New Roman" w:cs="Times New Roman"/>
        </w:rPr>
        <w:t>A contratação ocorrerá por meio de dispensa de licitação, com publicação de aviso para obtenção de propostas adicionais, com amparo no inc. II do art. 75 da Lei Federal nº 14.133/21, em virtude do valor estimado para aquisição.</w:t>
      </w:r>
    </w:p>
    <w:p w14:paraId="50CCDE86" w14:textId="77777777" w:rsidR="00CD424F" w:rsidRPr="00CD424F" w:rsidRDefault="00CD424F" w:rsidP="00CD424F">
      <w:pPr>
        <w:pStyle w:val="PargrafodaLista"/>
        <w:numPr>
          <w:ilvl w:val="1"/>
          <w:numId w:val="31"/>
        </w:numPr>
        <w:ind w:left="0" w:firstLine="0"/>
        <w:jc w:val="both"/>
        <w:rPr>
          <w:rFonts w:ascii="Times New Roman" w:hAnsi="Times New Roman" w:cs="Times New Roman"/>
        </w:rPr>
      </w:pPr>
      <w:r w:rsidRPr="00CD424F">
        <w:rPr>
          <w:rFonts w:ascii="Times New Roman" w:hAnsi="Times New Roman" w:cs="Times New Roman"/>
        </w:rPr>
        <w:t xml:space="preserve">Justifica-se o quantitativo pretendido na contratação considerando que será cedido um aparelho celular para cada vereador empossado para a 36ª legislatura. </w:t>
      </w:r>
    </w:p>
    <w:p w14:paraId="372A2B9A" w14:textId="02C814A6" w:rsidR="008D4CA8" w:rsidRPr="00CD424F" w:rsidRDefault="00CD424F" w:rsidP="00CD424F">
      <w:pPr>
        <w:pStyle w:val="PargrafodaLista"/>
        <w:numPr>
          <w:ilvl w:val="1"/>
          <w:numId w:val="31"/>
        </w:numPr>
        <w:ind w:left="0" w:firstLine="0"/>
        <w:jc w:val="both"/>
        <w:rPr>
          <w:rFonts w:ascii="Times New Roman" w:hAnsi="Times New Roman" w:cs="Times New Roman"/>
        </w:rPr>
      </w:pPr>
      <w:r w:rsidRPr="00CD424F">
        <w:rPr>
          <w:rFonts w:ascii="Times New Roman" w:hAnsi="Times New Roman" w:cs="Times New Roman"/>
        </w:rPr>
        <w:lastRenderedPageBreak/>
        <w:t>Não será exigida a elaboração de estudos técnicos preliminares e análise de risco, conforme estabelecido no art. 86, II e III, da Lei Ordinária nº 2.214/24.</w:t>
      </w:r>
    </w:p>
    <w:p w14:paraId="67D78703" w14:textId="77777777" w:rsidR="008D4CA8" w:rsidRPr="00F35695" w:rsidRDefault="008D4CA8" w:rsidP="008D4CA8">
      <w:pPr>
        <w:rPr>
          <w:b/>
          <w:bCs/>
          <w:sz w:val="24"/>
        </w:rPr>
      </w:pPr>
      <w:r w:rsidRPr="00F35695">
        <w:rPr>
          <w:b/>
          <w:bCs/>
          <w:sz w:val="24"/>
        </w:rPr>
        <w:t xml:space="preserve">6. DESCRIÇÃO DA SOLUÇÃO COMO UM TODO </w:t>
      </w:r>
    </w:p>
    <w:p w14:paraId="526376A6" w14:textId="559994ED" w:rsidR="008D4CA8" w:rsidRDefault="008D4CA8" w:rsidP="008D4CA8">
      <w:pPr>
        <w:rPr>
          <w:sz w:val="24"/>
        </w:rPr>
      </w:pPr>
      <w:r w:rsidRPr="00913B95">
        <w:rPr>
          <w:sz w:val="24"/>
        </w:rPr>
        <w:t>6.1.</w:t>
      </w:r>
      <w:r w:rsidRPr="00913B95">
        <w:rPr>
          <w:rFonts w:eastAsia="Arial"/>
          <w:sz w:val="24"/>
        </w:rPr>
        <w:t xml:space="preserve"> </w:t>
      </w:r>
      <w:r w:rsidRPr="00913B95">
        <w:rPr>
          <w:sz w:val="24"/>
        </w:rPr>
        <w:t xml:space="preserve">Considerando a demanda apresentada foi encontrada única solução: </w:t>
      </w:r>
      <w:r w:rsidR="00CD424F">
        <w:rPr>
          <w:sz w:val="24"/>
        </w:rPr>
        <w:t xml:space="preserve">aquisição de aparelhos de telefonia móvel. </w:t>
      </w:r>
    </w:p>
    <w:p w14:paraId="4CCBA21C" w14:textId="77777777" w:rsidR="008D4CA8" w:rsidRPr="00913B95" w:rsidRDefault="008D4CA8" w:rsidP="008D4CA8">
      <w:pPr>
        <w:rPr>
          <w:sz w:val="24"/>
        </w:rPr>
      </w:pPr>
    </w:p>
    <w:p w14:paraId="3B16E3EA" w14:textId="77777777" w:rsidR="008D4CA8" w:rsidRPr="00F35695" w:rsidRDefault="008D4CA8" w:rsidP="008D4CA8">
      <w:pPr>
        <w:rPr>
          <w:b/>
          <w:bCs/>
          <w:sz w:val="24"/>
        </w:rPr>
      </w:pPr>
      <w:r w:rsidRPr="00F35695">
        <w:rPr>
          <w:b/>
          <w:bCs/>
          <w:sz w:val="24"/>
        </w:rPr>
        <w:t xml:space="preserve">7. DO PAGAMENTO </w:t>
      </w:r>
    </w:p>
    <w:p w14:paraId="78325661" w14:textId="6E91B458" w:rsidR="008D4CA8" w:rsidRPr="00913B95" w:rsidRDefault="008D4CA8" w:rsidP="008D4CA8">
      <w:pPr>
        <w:rPr>
          <w:sz w:val="24"/>
        </w:rPr>
      </w:pPr>
      <w:r w:rsidRPr="00913B95">
        <w:rPr>
          <w:sz w:val="24"/>
        </w:rPr>
        <w:t xml:space="preserve">7.1. A despesa estimada para a contratação é de R$ </w:t>
      </w:r>
      <w:r w:rsidR="00CD424F">
        <w:rPr>
          <w:sz w:val="24"/>
        </w:rPr>
        <w:t>18.969,50</w:t>
      </w:r>
      <w:r w:rsidRPr="00913B95">
        <w:rPr>
          <w:sz w:val="24"/>
        </w:rPr>
        <w:t xml:space="preserve"> (</w:t>
      </w:r>
      <w:r w:rsidR="00CD424F">
        <w:rPr>
          <w:sz w:val="24"/>
        </w:rPr>
        <w:t>dezoito mil, novecentos e sessenta e nove reais e cinquenta centavos</w:t>
      </w:r>
      <w:r w:rsidRPr="00913B95">
        <w:rPr>
          <w:sz w:val="24"/>
        </w:rPr>
        <w:t xml:space="preserve">), referente </w:t>
      </w:r>
      <w:r w:rsidR="00CD424F">
        <w:rPr>
          <w:sz w:val="24"/>
        </w:rPr>
        <w:t>ao fornecimento do objeto</w:t>
      </w:r>
      <w:r w:rsidRPr="00913B95">
        <w:rPr>
          <w:sz w:val="24"/>
        </w:rPr>
        <w:t>, nos quais estão incluídos</w:t>
      </w:r>
      <w:r w:rsidR="00CD424F">
        <w:rPr>
          <w:sz w:val="24"/>
        </w:rPr>
        <w:t xml:space="preserve"> a entrega e</w:t>
      </w:r>
      <w:r w:rsidR="00517E5F">
        <w:rPr>
          <w:sz w:val="24"/>
        </w:rPr>
        <w:t xml:space="preserve"> </w:t>
      </w:r>
      <w:r w:rsidRPr="00913B95">
        <w:rPr>
          <w:sz w:val="24"/>
        </w:rPr>
        <w:t xml:space="preserve">todos os tributos, encargos trabalhistas, previdenciários, fiscais e comerciais. </w:t>
      </w:r>
    </w:p>
    <w:p w14:paraId="3E28C74B" w14:textId="77777777" w:rsidR="008D4CA8" w:rsidRPr="00913B95" w:rsidRDefault="008D4CA8" w:rsidP="008D4CA8">
      <w:pPr>
        <w:rPr>
          <w:sz w:val="24"/>
        </w:rPr>
      </w:pPr>
      <w:r w:rsidRPr="00913B95">
        <w:rPr>
          <w:sz w:val="24"/>
        </w:rPr>
        <w:t>7.2. O pagamento será em até 15 (quinze) dias corridos após a apresentação da Nota Fiscal</w:t>
      </w:r>
      <w:r>
        <w:rPr>
          <w:sz w:val="24"/>
        </w:rPr>
        <w:t>, e ateste de recebimento definitivo pelo Gestor do Contrato</w:t>
      </w:r>
      <w:r w:rsidRPr="00913B95">
        <w:rPr>
          <w:sz w:val="24"/>
        </w:rPr>
        <w:t xml:space="preserve">.  </w:t>
      </w:r>
    </w:p>
    <w:p w14:paraId="3D724C0F" w14:textId="77777777" w:rsidR="008D4CA8" w:rsidRPr="00913B95" w:rsidRDefault="008D4CA8" w:rsidP="008D4CA8">
      <w:pPr>
        <w:rPr>
          <w:sz w:val="24"/>
        </w:rPr>
      </w:pPr>
      <w:r w:rsidRPr="00913B95">
        <w:rPr>
          <w:sz w:val="24"/>
        </w:rPr>
        <w:t xml:space="preserve">7.2.1. A Nota Fiscal somente poderá ser emitida após a efetiva entrega dos itens e prestação do serviço, ou seja, após ocorrer efetivamente a entrega do objeto licitado.  </w:t>
      </w:r>
    </w:p>
    <w:p w14:paraId="64DC9DAF" w14:textId="77777777" w:rsidR="008D4CA8" w:rsidRDefault="008D4CA8" w:rsidP="008D4CA8">
      <w:pPr>
        <w:rPr>
          <w:sz w:val="24"/>
        </w:rPr>
      </w:pPr>
      <w:r w:rsidRPr="00913B95">
        <w:rPr>
          <w:sz w:val="24"/>
        </w:rPr>
        <w:t xml:space="preserve">7.2.2. Após entrega provisória do serviço e dos itens, para o qual a empresa contratada receberá Nota de Empenho e autorização de fornecimento, deverá ser emitida Nota Fiscal. </w:t>
      </w:r>
    </w:p>
    <w:p w14:paraId="7E9A324A" w14:textId="77777777" w:rsidR="008D4CA8" w:rsidRPr="00913B95" w:rsidRDefault="008D4CA8" w:rsidP="008D4CA8">
      <w:pPr>
        <w:rPr>
          <w:sz w:val="24"/>
        </w:rPr>
      </w:pPr>
      <w:r w:rsidRPr="00913B95">
        <w:rPr>
          <w:sz w:val="24"/>
        </w:rPr>
        <w:t xml:space="preserve">7.2.3. A Nota Fiscal e as certidões de FGTS e de Débitos Relativos a Créditos Tributários Federais e à Dívida Ativa da União deverão ser entregues na Sede da Câmara Municipal de Lima Duarte. </w:t>
      </w:r>
    </w:p>
    <w:p w14:paraId="7C883A6A" w14:textId="77777777" w:rsidR="008D4CA8" w:rsidRPr="00913B95" w:rsidRDefault="008D4CA8" w:rsidP="008D4CA8">
      <w:pPr>
        <w:rPr>
          <w:sz w:val="24"/>
        </w:rPr>
      </w:pPr>
      <w:r w:rsidRPr="00913B95">
        <w:rPr>
          <w:sz w:val="24"/>
        </w:rPr>
        <w:t xml:space="preserve">7.2.4. Com o recebimento da Nota Fiscal, o setor contábil a conferirá e, estando conforme a legislação em vigor, entregará ao fiscal do contrato que dará seu ateste e de acordo </w:t>
      </w:r>
      <w:r>
        <w:rPr>
          <w:sz w:val="24"/>
        </w:rPr>
        <w:t>devolvendo</w:t>
      </w:r>
      <w:r w:rsidRPr="00913B95">
        <w:rPr>
          <w:sz w:val="24"/>
        </w:rPr>
        <w:t xml:space="preserve"> a Nota Fiscal ao setor contábil para liquidação, efetivando o recebimento definitivo do objeto, e o consequente pagamento.  </w:t>
      </w:r>
    </w:p>
    <w:p w14:paraId="1135E654" w14:textId="77777777" w:rsidR="008D4CA8" w:rsidRPr="00913B95" w:rsidRDefault="008D4CA8" w:rsidP="008D4CA8">
      <w:pPr>
        <w:rPr>
          <w:sz w:val="24"/>
        </w:rPr>
      </w:pPr>
      <w:r w:rsidRPr="00913B95">
        <w:rPr>
          <w:sz w:val="24"/>
        </w:rPr>
        <w:t xml:space="preserve">7.2.5. Qualquer um dos setores poderá levantar dúvida e solicitar complementação de informações ou alteração da Nota Fiscal, se for o caso, antes de enviá-la para o setor seguinte. </w:t>
      </w:r>
    </w:p>
    <w:p w14:paraId="5BD1D4B1" w14:textId="77777777" w:rsidR="008D4CA8" w:rsidRPr="00913B95" w:rsidRDefault="008D4CA8" w:rsidP="008D4CA8">
      <w:pPr>
        <w:rPr>
          <w:sz w:val="24"/>
        </w:rPr>
      </w:pPr>
      <w:r w:rsidRPr="00913B95">
        <w:rPr>
          <w:sz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1BD982A3" w14:textId="77777777" w:rsidR="008D4CA8" w:rsidRPr="00913B95" w:rsidRDefault="008D4CA8" w:rsidP="008D4CA8">
      <w:pPr>
        <w:rPr>
          <w:sz w:val="24"/>
        </w:rPr>
      </w:pPr>
      <w:r w:rsidRPr="00913B95">
        <w:rPr>
          <w:sz w:val="24"/>
        </w:rPr>
        <w:t xml:space="preserve">7.2.7.   Nenhum pagamento será efetuado à CONTRATADA, enquanto houver pendência de liquidação de obrigação financeira, em virtude de penalidade ou inadimplência contratual. </w:t>
      </w:r>
    </w:p>
    <w:p w14:paraId="0275761E" w14:textId="77777777" w:rsidR="008D4CA8" w:rsidRPr="00913B95" w:rsidRDefault="008D4CA8" w:rsidP="008D4CA8">
      <w:pPr>
        <w:rPr>
          <w:sz w:val="24"/>
        </w:rPr>
      </w:pPr>
      <w:r w:rsidRPr="00913B95">
        <w:rPr>
          <w:sz w:val="24"/>
        </w:rPr>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6F411AA3" w14:textId="77777777" w:rsidR="008D4CA8" w:rsidRPr="00913B95" w:rsidRDefault="008D4CA8" w:rsidP="008D4CA8">
      <w:pPr>
        <w:rPr>
          <w:sz w:val="24"/>
        </w:rPr>
      </w:pPr>
      <w:r w:rsidRPr="00913B95">
        <w:rPr>
          <w:sz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2FA7D2D5" w14:textId="20D7D3AB" w:rsidR="008D4CA8" w:rsidRPr="00913B95" w:rsidRDefault="008D4CA8" w:rsidP="008D4CA8">
      <w:pPr>
        <w:rPr>
          <w:sz w:val="24"/>
        </w:rPr>
      </w:pPr>
      <w:r w:rsidRPr="00913B95">
        <w:rPr>
          <w:sz w:val="24"/>
        </w:rPr>
        <w:t xml:space="preserve">7.2.10.   O pagamento será efetuado por crédito em conta </w:t>
      </w:r>
      <w:r w:rsidR="00F70F2B">
        <w:t>ser informada em nome da licitante vencedora do certame</w:t>
      </w:r>
      <w:r w:rsidRPr="00913B95">
        <w:rPr>
          <w:sz w:val="24"/>
        </w:rPr>
        <w:t xml:space="preserve"> ou através de pagamento de boleto a ser encaminhado posteriormente a solicitação da Contratante, após o recebimento definitivo do objeto. </w:t>
      </w:r>
    </w:p>
    <w:p w14:paraId="54500A46" w14:textId="051AE6B4" w:rsidR="008D4CA8" w:rsidRPr="00CD424F" w:rsidRDefault="008D4CA8" w:rsidP="00CD424F">
      <w:pPr>
        <w:pStyle w:val="TableParagraph"/>
        <w:spacing w:line="360" w:lineRule="auto"/>
        <w:ind w:left="4"/>
        <w:jc w:val="both"/>
        <w:rPr>
          <w:sz w:val="24"/>
          <w:szCs w:val="24"/>
        </w:rPr>
      </w:pPr>
      <w:r w:rsidRPr="00913B95">
        <w:rPr>
          <w:sz w:val="24"/>
        </w:rPr>
        <w:t xml:space="preserve">7.3.       As despesas decorrentes da execução do presente contrato correrão por conta de dotação orçamentária própria, constante no orçamento vigente, de acordo com a classificação </w:t>
      </w:r>
      <w:r w:rsidR="00CD424F" w:rsidRPr="00EB5671">
        <w:rPr>
          <w:sz w:val="24"/>
          <w:szCs w:val="24"/>
        </w:rPr>
        <w:t>4.4.90.52.00.1.01.00.01.031.0010.1.0002 AQUISIÇÃO DE VEÍCULO E EQUIPAMENTOS PARA CÂMARA</w:t>
      </w:r>
      <w:r w:rsidR="00CD424F">
        <w:rPr>
          <w:sz w:val="24"/>
          <w:szCs w:val="24"/>
        </w:rPr>
        <w:t>.</w:t>
      </w:r>
    </w:p>
    <w:p w14:paraId="1DA6F18E" w14:textId="77777777" w:rsidR="008D4CA8" w:rsidRPr="00913B95" w:rsidRDefault="008D4CA8" w:rsidP="008D4CA8">
      <w:pPr>
        <w:rPr>
          <w:sz w:val="24"/>
        </w:rPr>
      </w:pPr>
      <w:r w:rsidRPr="00913B95">
        <w:rPr>
          <w:sz w:val="24"/>
        </w:rPr>
        <w:lastRenderedPageBreak/>
        <w:t xml:space="preserve">7.4.       Quando do pagamento, será efetuada a retenção tributária prevista na legislação aplicável. </w:t>
      </w:r>
    </w:p>
    <w:p w14:paraId="288D8B10" w14:textId="77777777" w:rsidR="008D4CA8" w:rsidRPr="00913B95" w:rsidRDefault="008D4CA8" w:rsidP="008D4CA8">
      <w:pPr>
        <w:rPr>
          <w:sz w:val="24"/>
        </w:rPr>
      </w:pPr>
      <w:r w:rsidRPr="00913B95">
        <w:rPr>
          <w:sz w:val="24"/>
        </w:rPr>
        <w:t xml:space="preserve">7.4.1.   Independentemente do percentual de tributo inserido na planilha, quando houver, serão retidos na fonte, quando da realização do pagamento, os percentuais estabelecidos na legislação vigente. </w:t>
      </w:r>
    </w:p>
    <w:p w14:paraId="591C9A4F" w14:textId="77777777" w:rsidR="008D4CA8" w:rsidRDefault="008D4CA8" w:rsidP="008D4CA8">
      <w:pPr>
        <w:rPr>
          <w:sz w:val="24"/>
        </w:rPr>
      </w:pPr>
      <w:r w:rsidRPr="00913B95">
        <w:rPr>
          <w:sz w:val="24"/>
        </w:rPr>
        <w:t>7.4.2.   O contratado regularmente optante pelo Simples Nacional, nos termos da</w:t>
      </w:r>
      <w:hyperlink r:id="rId8">
        <w:r w:rsidRPr="00913B95">
          <w:rPr>
            <w:rStyle w:val="Hyperlink"/>
            <w:sz w:val="24"/>
          </w:rPr>
          <w:t xml:space="preserve"> </w:t>
        </w:r>
      </w:hyperlink>
      <w:hyperlink r:id="rId9">
        <w:r w:rsidRPr="00913B95">
          <w:rPr>
            <w:rStyle w:val="Hyperlink"/>
            <w:sz w:val="24"/>
          </w:rPr>
          <w:t>Lei</w:t>
        </w:r>
      </w:hyperlink>
      <w:hyperlink r:id="rId10">
        <w:r w:rsidRPr="00913B95">
          <w:rPr>
            <w:rStyle w:val="Hyperlink"/>
            <w:sz w:val="24"/>
          </w:rPr>
          <w:t xml:space="preserve"> </w:t>
        </w:r>
      </w:hyperlink>
      <w:hyperlink r:id="rId11">
        <w:r w:rsidRPr="00913B95">
          <w:rPr>
            <w:rStyle w:val="Hyperlink"/>
            <w:sz w:val="24"/>
          </w:rPr>
          <w:t>Complementar nº 123, de 2006</w:t>
        </w:r>
      </w:hyperlink>
      <w:hyperlink r:id="rId12">
        <w:r w:rsidRPr="00913B95">
          <w:rPr>
            <w:rStyle w:val="Hyperlink"/>
            <w:sz w:val="24"/>
          </w:rPr>
          <w:t>,</w:t>
        </w:r>
      </w:hyperlink>
      <w:r w:rsidRPr="00913B95">
        <w:rPr>
          <w:sz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3958BD10" w14:textId="77777777" w:rsidR="008D4CA8" w:rsidRPr="00F35695" w:rsidRDefault="008D4CA8" w:rsidP="008D4CA8">
      <w:pPr>
        <w:rPr>
          <w:sz w:val="24"/>
        </w:rPr>
      </w:pPr>
    </w:p>
    <w:p w14:paraId="1C59EC07" w14:textId="77777777" w:rsidR="008D4CA8" w:rsidRPr="00F35695" w:rsidRDefault="008D4CA8" w:rsidP="008D4CA8">
      <w:pPr>
        <w:rPr>
          <w:b/>
          <w:bCs/>
          <w:sz w:val="24"/>
        </w:rPr>
      </w:pPr>
      <w:r w:rsidRPr="00F35695">
        <w:rPr>
          <w:b/>
          <w:bCs/>
          <w:sz w:val="24"/>
        </w:rPr>
        <w:t xml:space="preserve">8. DO PARCELAMENTO DO OBJETO </w:t>
      </w:r>
    </w:p>
    <w:p w14:paraId="40C07A85" w14:textId="4421C94C" w:rsidR="008D4CA8" w:rsidRDefault="008D4CA8" w:rsidP="008D4CA8">
      <w:pPr>
        <w:rPr>
          <w:sz w:val="24"/>
        </w:rPr>
      </w:pPr>
      <w:r>
        <w:rPr>
          <w:sz w:val="24"/>
        </w:rPr>
        <w:t xml:space="preserve">8.1. </w:t>
      </w:r>
      <w:r w:rsidR="00517E5F">
        <w:rPr>
          <w:sz w:val="24"/>
        </w:rPr>
        <w:t xml:space="preserve">Não se aplica. </w:t>
      </w:r>
    </w:p>
    <w:p w14:paraId="33292013" w14:textId="77777777" w:rsidR="008D4CA8" w:rsidRPr="00913B95" w:rsidRDefault="008D4CA8" w:rsidP="008D4CA8">
      <w:pPr>
        <w:rPr>
          <w:sz w:val="24"/>
        </w:rPr>
      </w:pPr>
    </w:p>
    <w:p w14:paraId="4BC057FC" w14:textId="77777777" w:rsidR="008D4CA8" w:rsidRPr="00D7613F" w:rsidRDefault="008D4CA8" w:rsidP="008D4CA8">
      <w:pPr>
        <w:rPr>
          <w:b/>
          <w:bCs/>
          <w:sz w:val="24"/>
        </w:rPr>
      </w:pPr>
      <w:r w:rsidRPr="00D7613F">
        <w:rPr>
          <w:b/>
          <w:bCs/>
          <w:sz w:val="24"/>
        </w:rPr>
        <w:t xml:space="preserve">9. Requisitos da Contratação </w:t>
      </w:r>
    </w:p>
    <w:p w14:paraId="344FFBD2" w14:textId="1DD3E587" w:rsidR="00A10290" w:rsidRPr="00A10290" w:rsidRDefault="00CD424F" w:rsidP="00A10290">
      <w:pPr>
        <w:pStyle w:val="PargrafodaLista"/>
        <w:numPr>
          <w:ilvl w:val="1"/>
          <w:numId w:val="33"/>
        </w:numPr>
        <w:ind w:left="0" w:firstLine="0"/>
        <w:jc w:val="both"/>
        <w:rPr>
          <w:rFonts w:ascii="Times New Roman" w:hAnsi="Times New Roman" w:cs="Times New Roman"/>
        </w:rPr>
      </w:pPr>
      <w:r w:rsidRPr="00A10290">
        <w:rPr>
          <w:rFonts w:ascii="Times New Roman" w:hAnsi="Times New Roman" w:cs="Times New Roman"/>
        </w:rPr>
        <w:t xml:space="preserve">Os aparelhos fornecidos devem ter garantia mínima de 90 dias corridos a contar da data de sua </w:t>
      </w:r>
      <w:r w:rsidR="00A10290">
        <w:rPr>
          <w:rFonts w:ascii="Times New Roman" w:hAnsi="Times New Roman" w:cs="Times New Roman"/>
        </w:rPr>
        <w:t>entrega</w:t>
      </w:r>
      <w:r w:rsidRPr="00A10290">
        <w:rPr>
          <w:rFonts w:ascii="Times New Roman" w:hAnsi="Times New Roman" w:cs="Times New Roman"/>
        </w:rPr>
        <w:t>;</w:t>
      </w:r>
    </w:p>
    <w:p w14:paraId="2AD58BB0" w14:textId="77777777" w:rsidR="00A10290" w:rsidRPr="00A10290" w:rsidRDefault="00A10290" w:rsidP="00A10290">
      <w:pPr>
        <w:pStyle w:val="PargrafodaLista"/>
        <w:numPr>
          <w:ilvl w:val="1"/>
          <w:numId w:val="33"/>
        </w:numPr>
        <w:ind w:left="0" w:firstLine="0"/>
        <w:jc w:val="both"/>
        <w:rPr>
          <w:rFonts w:ascii="Times New Roman" w:hAnsi="Times New Roman" w:cs="Times New Roman"/>
        </w:rPr>
      </w:pPr>
      <w:r w:rsidRPr="00A10290">
        <w:rPr>
          <w:rFonts w:ascii="Times New Roman" w:hAnsi="Times New Roman" w:cs="Times New Roman"/>
          <w:lang w:val="x-none"/>
        </w:rPr>
        <w:t xml:space="preserve">objeto da presente licitação </w:t>
      </w:r>
      <w:r w:rsidRPr="00A10290">
        <w:rPr>
          <w:rFonts w:ascii="Times New Roman" w:hAnsi="Times New Roman" w:cs="Times New Roman"/>
        </w:rPr>
        <w:t>deverá ser entregue em até 10 dias úteis após o recebimento de ordem de compra por parte do fornecedor</w:t>
      </w:r>
      <w:r w:rsidRPr="00A10290">
        <w:rPr>
          <w:rFonts w:ascii="Times New Roman" w:hAnsi="Times New Roman" w:cs="Times New Roman"/>
          <w:lang w:val="x-none"/>
        </w:rPr>
        <w:t>.</w:t>
      </w:r>
    </w:p>
    <w:p w14:paraId="29689EB8" w14:textId="77777777" w:rsidR="00A10290" w:rsidRPr="00A10290" w:rsidRDefault="00A10290" w:rsidP="00A10290">
      <w:pPr>
        <w:pStyle w:val="PargrafodaLista"/>
        <w:numPr>
          <w:ilvl w:val="1"/>
          <w:numId w:val="33"/>
        </w:numPr>
        <w:ind w:left="0" w:firstLine="0"/>
        <w:jc w:val="both"/>
        <w:rPr>
          <w:rFonts w:ascii="Times New Roman" w:hAnsi="Times New Roman" w:cs="Times New Roman"/>
        </w:rPr>
      </w:pPr>
      <w:r w:rsidRPr="00A10290">
        <w:rPr>
          <w:rFonts w:ascii="Times New Roman" w:hAnsi="Times New Roman" w:cs="Times New Roman"/>
          <w:lang w:val="x-none"/>
        </w:rPr>
        <w:t xml:space="preserve">Havendo rejeição dos </w:t>
      </w:r>
      <w:r w:rsidRPr="00A10290">
        <w:rPr>
          <w:rFonts w:ascii="Times New Roman" w:hAnsi="Times New Roman" w:cs="Times New Roman"/>
        </w:rPr>
        <w:t>itens</w:t>
      </w:r>
      <w:r w:rsidRPr="00A10290">
        <w:rPr>
          <w:rFonts w:ascii="Times New Roman" w:hAnsi="Times New Roman" w:cs="Times New Roman"/>
          <w:lang w:val="x-none"/>
        </w:rPr>
        <w:t>,</w:t>
      </w:r>
      <w:r w:rsidRPr="00A10290">
        <w:rPr>
          <w:rFonts w:ascii="Times New Roman" w:hAnsi="Times New Roman" w:cs="Times New Roman"/>
        </w:rPr>
        <w:t xml:space="preserve"> por desconformidade com a descrição solicitada, </w:t>
      </w:r>
      <w:r w:rsidRPr="00A10290">
        <w:rPr>
          <w:rFonts w:ascii="Times New Roman" w:hAnsi="Times New Roman" w:cs="Times New Roman"/>
          <w:lang w:val="x-none"/>
        </w:rPr>
        <w:t xml:space="preserve"> no todo ou em parte, </w:t>
      </w:r>
      <w:r w:rsidRPr="00A10290">
        <w:rPr>
          <w:rFonts w:ascii="Times New Roman" w:hAnsi="Times New Roman" w:cs="Times New Roman"/>
        </w:rPr>
        <w:t>o fornecedor</w:t>
      </w:r>
      <w:r w:rsidRPr="00A10290">
        <w:rPr>
          <w:rFonts w:ascii="Times New Roman" w:hAnsi="Times New Roman" w:cs="Times New Roman"/>
          <w:lang w:val="x-none"/>
        </w:rPr>
        <w:t xml:space="preserve"> deverá substituí-los no prazo </w:t>
      </w:r>
      <w:r w:rsidRPr="00A10290">
        <w:rPr>
          <w:rFonts w:ascii="Times New Roman" w:hAnsi="Times New Roman" w:cs="Times New Roman"/>
        </w:rPr>
        <w:t xml:space="preserve">de 05 dias úteis, a ser </w:t>
      </w:r>
      <w:r w:rsidRPr="00A10290">
        <w:rPr>
          <w:rFonts w:ascii="Times New Roman" w:hAnsi="Times New Roman" w:cs="Times New Roman"/>
          <w:lang w:val="x-none"/>
        </w:rPr>
        <w:t xml:space="preserve">estabelecido formalmente pela </w:t>
      </w:r>
      <w:r w:rsidRPr="00A10290">
        <w:rPr>
          <w:rFonts w:ascii="Times New Roman" w:hAnsi="Times New Roman" w:cs="Times New Roman"/>
        </w:rPr>
        <w:t>Câmara Municipal.</w:t>
      </w:r>
    </w:p>
    <w:p w14:paraId="049D9A61" w14:textId="7CF2C8E7" w:rsidR="00A10290" w:rsidRPr="00A10290" w:rsidRDefault="00A10290" w:rsidP="00A10290">
      <w:pPr>
        <w:pStyle w:val="PargrafodaLista"/>
        <w:numPr>
          <w:ilvl w:val="1"/>
          <w:numId w:val="33"/>
        </w:numPr>
        <w:ind w:left="0" w:firstLine="0"/>
        <w:jc w:val="both"/>
        <w:rPr>
          <w:rFonts w:ascii="Times New Roman" w:hAnsi="Times New Roman" w:cs="Times New Roman"/>
        </w:rPr>
      </w:pPr>
      <w:r w:rsidRPr="00A10290">
        <w:rPr>
          <w:rFonts w:ascii="Times New Roman" w:hAnsi="Times New Roman" w:cs="Times New Roman"/>
          <w:lang w:val="x-none"/>
        </w:rPr>
        <w:t xml:space="preserve">Os </w:t>
      </w:r>
      <w:r w:rsidRPr="00A10290">
        <w:rPr>
          <w:rFonts w:ascii="Times New Roman" w:hAnsi="Times New Roman" w:cs="Times New Roman"/>
        </w:rPr>
        <w:t>itens</w:t>
      </w:r>
      <w:r w:rsidRPr="00A10290">
        <w:rPr>
          <w:rFonts w:ascii="Times New Roman" w:hAnsi="Times New Roman" w:cs="Times New Roman"/>
          <w:lang w:val="x-none"/>
        </w:rPr>
        <w:t xml:space="preserve"> deverão ser entregues conforme especificações constantes </w:t>
      </w:r>
      <w:r w:rsidRPr="00A10290">
        <w:rPr>
          <w:rFonts w:ascii="Times New Roman" w:hAnsi="Times New Roman" w:cs="Times New Roman"/>
        </w:rPr>
        <w:t>neste termo, bem como na planilha de orçamentos</w:t>
      </w:r>
      <w:r w:rsidRPr="00A10290">
        <w:rPr>
          <w:rFonts w:ascii="Times New Roman" w:hAnsi="Times New Roman" w:cs="Times New Roman"/>
          <w:lang w:val="x-none"/>
        </w:rPr>
        <w:t>.</w:t>
      </w:r>
    </w:p>
    <w:p w14:paraId="09122F0C" w14:textId="1F26858B" w:rsidR="00A10290" w:rsidRPr="00A10290" w:rsidRDefault="00A10290" w:rsidP="00A10290">
      <w:pPr>
        <w:pStyle w:val="PargrafodaLista"/>
        <w:numPr>
          <w:ilvl w:val="1"/>
          <w:numId w:val="33"/>
        </w:numPr>
        <w:ind w:left="0" w:firstLine="0"/>
        <w:jc w:val="both"/>
        <w:rPr>
          <w:rFonts w:ascii="Times New Roman" w:hAnsi="Times New Roman" w:cs="Times New Roman"/>
        </w:rPr>
      </w:pPr>
      <w:r w:rsidRPr="00A10290">
        <w:rPr>
          <w:rFonts w:ascii="Times New Roman" w:hAnsi="Times New Roman" w:cs="Times New Roman"/>
          <w:lang w:val="x-none"/>
        </w:rPr>
        <w:t>Deverão acompanhar os aparelho</w:t>
      </w:r>
      <w:r w:rsidRPr="00A10290">
        <w:rPr>
          <w:rFonts w:ascii="Times New Roman" w:hAnsi="Times New Roman" w:cs="Times New Roman"/>
        </w:rPr>
        <w:t xml:space="preserve">s telefônico, os componentes: </w:t>
      </w:r>
    </w:p>
    <w:p w14:paraId="23DDFA04" w14:textId="31783CC5"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Carregador;</w:t>
      </w:r>
    </w:p>
    <w:p w14:paraId="6CC02EB3" w14:textId="20737EBE"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Cabo de dados</w:t>
      </w:r>
    </w:p>
    <w:p w14:paraId="09D1F3A0" w14:textId="203B8F76"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Fone de ouvido</w:t>
      </w:r>
    </w:p>
    <w:p w14:paraId="27FB60A9" w14:textId="7178F18C"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Manual de instruções</w:t>
      </w:r>
    </w:p>
    <w:p w14:paraId="47D78417" w14:textId="7903189D"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Cartão de garantia</w:t>
      </w:r>
    </w:p>
    <w:p w14:paraId="06D43F04" w14:textId="1FD90ADA"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Capa de protetora</w:t>
      </w:r>
    </w:p>
    <w:p w14:paraId="648214C0" w14:textId="4B72BAD1" w:rsidR="00A10290" w:rsidRPr="00A10290" w:rsidRDefault="00A10290" w:rsidP="00A10290">
      <w:pPr>
        <w:pStyle w:val="PargrafodaLista"/>
        <w:numPr>
          <w:ilvl w:val="2"/>
          <w:numId w:val="33"/>
        </w:numPr>
        <w:rPr>
          <w:rFonts w:ascii="Times New Roman" w:hAnsi="Times New Roman" w:cs="Times New Roman"/>
        </w:rPr>
      </w:pPr>
      <w:r w:rsidRPr="00A10290">
        <w:rPr>
          <w:rFonts w:ascii="Times New Roman" w:hAnsi="Times New Roman" w:cs="Times New Roman"/>
        </w:rPr>
        <w:t>Película protetora de tela.</w:t>
      </w:r>
    </w:p>
    <w:p w14:paraId="59D3BF45" w14:textId="77777777" w:rsidR="00CD424F" w:rsidRPr="00A10290" w:rsidRDefault="00CD424F" w:rsidP="00A10290">
      <w:pPr>
        <w:pStyle w:val="PargrafodaLista"/>
        <w:ind w:left="360"/>
        <w:jc w:val="both"/>
        <w:rPr>
          <w:rFonts w:ascii="Times New Roman" w:hAnsi="Times New Roman" w:cs="Times New Roman"/>
        </w:rPr>
      </w:pPr>
    </w:p>
    <w:p w14:paraId="3D88E19D" w14:textId="6513D917" w:rsidR="008D4CA8" w:rsidRPr="00D7613F" w:rsidRDefault="008D4CA8" w:rsidP="008D4CA8">
      <w:pPr>
        <w:pStyle w:val="PargrafodaLista"/>
        <w:ind w:left="0"/>
        <w:jc w:val="both"/>
        <w:rPr>
          <w:rFonts w:ascii="Times New Roman" w:hAnsi="Times New Roman" w:cs="Times New Roman"/>
          <w:b/>
          <w:bCs/>
        </w:rPr>
      </w:pPr>
      <w:r w:rsidRPr="00D7613F">
        <w:rPr>
          <w:rFonts w:ascii="Times New Roman" w:hAnsi="Times New Roman" w:cs="Times New Roman"/>
          <w:b/>
          <w:bCs/>
        </w:rPr>
        <w:t>10.</w:t>
      </w:r>
      <w:r w:rsidRPr="00D7613F">
        <w:rPr>
          <w:rFonts w:ascii="Times New Roman" w:eastAsia="Arial" w:hAnsi="Times New Roman" w:cs="Times New Roman"/>
          <w:b/>
          <w:bCs/>
        </w:rPr>
        <w:t xml:space="preserve"> </w:t>
      </w:r>
      <w:r w:rsidRPr="00D7613F">
        <w:rPr>
          <w:rFonts w:ascii="Times New Roman" w:hAnsi="Times New Roman" w:cs="Times New Roman"/>
          <w:b/>
          <w:bCs/>
        </w:rPr>
        <w:t xml:space="preserve">Deveres do contratado </w:t>
      </w:r>
    </w:p>
    <w:p w14:paraId="47440AC4" w14:textId="77777777" w:rsidR="008D4CA8" w:rsidRPr="00913B95" w:rsidRDefault="008D4CA8" w:rsidP="008D4CA8">
      <w:pPr>
        <w:rPr>
          <w:sz w:val="24"/>
        </w:rPr>
      </w:pPr>
      <w:r w:rsidRPr="00913B95">
        <w:rPr>
          <w:sz w:val="24"/>
        </w:rPr>
        <w:t>10.1.</w:t>
      </w:r>
      <w:r w:rsidRPr="00913B95">
        <w:rPr>
          <w:rFonts w:eastAsia="Arial"/>
          <w:sz w:val="24"/>
        </w:rPr>
        <w:t xml:space="preserve"> </w:t>
      </w:r>
      <w:r>
        <w:rPr>
          <w:sz w:val="24"/>
        </w:rPr>
        <w:t>Entregar o item</w:t>
      </w:r>
      <w:r w:rsidRPr="00913B95">
        <w:rPr>
          <w:sz w:val="24"/>
        </w:rPr>
        <w:t xml:space="preserve"> objeto deste Termo de Referência, responsabilizando-se integralmente pelo mesmo; </w:t>
      </w:r>
    </w:p>
    <w:p w14:paraId="185DED07" w14:textId="77777777" w:rsidR="008D4CA8" w:rsidRPr="00913B95" w:rsidRDefault="008D4CA8" w:rsidP="008D4CA8">
      <w:pPr>
        <w:rPr>
          <w:sz w:val="24"/>
        </w:rPr>
      </w:pPr>
      <w:r w:rsidRPr="00913B95">
        <w:rPr>
          <w:sz w:val="24"/>
        </w:rPr>
        <w:t>10.2.</w:t>
      </w:r>
      <w:r w:rsidRPr="00913B95">
        <w:rPr>
          <w:rFonts w:eastAsia="Arial"/>
          <w:sz w:val="24"/>
        </w:rPr>
        <w:t xml:space="preserve"> </w:t>
      </w:r>
      <w:r w:rsidRPr="00913B95">
        <w:rPr>
          <w:sz w:val="24"/>
        </w:rPr>
        <w:t xml:space="preserve"> Prover condições que possibilitem o atendimento </w:t>
      </w:r>
      <w:r>
        <w:rPr>
          <w:sz w:val="24"/>
        </w:rPr>
        <w:t>do item ora adquirido</w:t>
      </w:r>
      <w:r w:rsidRPr="00913B95">
        <w:rPr>
          <w:sz w:val="24"/>
        </w:rPr>
        <w:t xml:space="preserve"> a partir do </w:t>
      </w:r>
      <w:r>
        <w:rPr>
          <w:sz w:val="24"/>
        </w:rPr>
        <w:t>envio da nota de empenho</w:t>
      </w:r>
      <w:r w:rsidRPr="00913B95">
        <w:rPr>
          <w:sz w:val="24"/>
        </w:rPr>
        <w:t xml:space="preserve">; </w:t>
      </w:r>
    </w:p>
    <w:p w14:paraId="665AE7A1" w14:textId="77777777" w:rsidR="008D4CA8" w:rsidRPr="00913B95" w:rsidRDefault="008D4CA8" w:rsidP="008D4CA8">
      <w:pPr>
        <w:rPr>
          <w:sz w:val="24"/>
        </w:rPr>
      </w:pPr>
      <w:r w:rsidRPr="00913B95">
        <w:rPr>
          <w:sz w:val="24"/>
        </w:rPr>
        <w:t>10.3.</w:t>
      </w:r>
      <w:r w:rsidRPr="00913B95">
        <w:rPr>
          <w:rFonts w:eastAsia="Arial"/>
          <w:sz w:val="24"/>
        </w:rPr>
        <w:t xml:space="preserve"> </w:t>
      </w:r>
      <w:r w:rsidRPr="00913B95">
        <w:rPr>
          <w:sz w:val="24"/>
        </w:rPr>
        <w:t xml:space="preserve">Observar as formalidades legais exigidas neste Termo de referência e na Lei 14.133/21;  </w:t>
      </w:r>
    </w:p>
    <w:p w14:paraId="4874ED45" w14:textId="77777777" w:rsidR="008D4CA8" w:rsidRDefault="008D4CA8" w:rsidP="008D4CA8">
      <w:pPr>
        <w:rPr>
          <w:sz w:val="24"/>
        </w:rPr>
      </w:pPr>
      <w:r w:rsidRPr="00913B95">
        <w:rPr>
          <w:sz w:val="24"/>
        </w:rPr>
        <w:t>10.4.</w:t>
      </w:r>
      <w:r w:rsidRPr="00913B95">
        <w:rPr>
          <w:rFonts w:eastAsia="Arial"/>
          <w:sz w:val="24"/>
        </w:rPr>
        <w:t xml:space="preserve"> </w:t>
      </w:r>
      <w:r w:rsidRPr="00913B95">
        <w:rPr>
          <w:sz w:val="24"/>
        </w:rPr>
        <w:t xml:space="preserve">Não transferir a outrem, no todo ou em parte, o objeto do presente contrato, sem prévia e expressa anuência do CONTRATANTE; </w:t>
      </w:r>
    </w:p>
    <w:p w14:paraId="48BF4B7B" w14:textId="77777777" w:rsidR="008D4CA8" w:rsidRPr="00913B95" w:rsidRDefault="008D4CA8" w:rsidP="008D4CA8">
      <w:pPr>
        <w:rPr>
          <w:sz w:val="24"/>
        </w:rPr>
      </w:pPr>
    </w:p>
    <w:p w14:paraId="6DBF783C" w14:textId="77777777" w:rsidR="008D4CA8" w:rsidRPr="00F35695" w:rsidRDefault="008D4CA8" w:rsidP="008D4CA8">
      <w:pPr>
        <w:rPr>
          <w:b/>
          <w:bCs/>
          <w:sz w:val="24"/>
        </w:rPr>
      </w:pPr>
      <w:r w:rsidRPr="00F35695">
        <w:rPr>
          <w:b/>
          <w:bCs/>
          <w:sz w:val="24"/>
        </w:rPr>
        <w:t xml:space="preserve">11. Deveres do contratante </w:t>
      </w:r>
    </w:p>
    <w:p w14:paraId="65748BBB" w14:textId="77777777" w:rsidR="008D4CA8" w:rsidRPr="00913B95" w:rsidRDefault="008D4CA8" w:rsidP="008D4CA8">
      <w:pPr>
        <w:rPr>
          <w:sz w:val="24"/>
        </w:rPr>
      </w:pPr>
      <w:r w:rsidRPr="00913B95">
        <w:rPr>
          <w:sz w:val="24"/>
        </w:rPr>
        <w:lastRenderedPageBreak/>
        <w:t>11.1.</w:t>
      </w:r>
      <w:r w:rsidRPr="00913B95">
        <w:rPr>
          <w:rFonts w:eastAsia="Arial"/>
          <w:sz w:val="24"/>
        </w:rPr>
        <w:t xml:space="preserve"> </w:t>
      </w:r>
      <w:r w:rsidRPr="00913B95">
        <w:rPr>
          <w:sz w:val="24"/>
        </w:rPr>
        <w:t xml:space="preserve">Proporcionar condições para que a contratada possa realizar a entrega do objeto licitado de acordo com as determinações deste TR; </w:t>
      </w:r>
    </w:p>
    <w:p w14:paraId="4321818A" w14:textId="77777777" w:rsidR="008D4CA8" w:rsidRPr="00913B95" w:rsidRDefault="008D4CA8" w:rsidP="008D4CA8">
      <w:pPr>
        <w:rPr>
          <w:sz w:val="24"/>
        </w:rPr>
      </w:pPr>
      <w:r w:rsidRPr="00913B95">
        <w:rPr>
          <w:sz w:val="24"/>
        </w:rPr>
        <w:t>11.2.</w:t>
      </w:r>
      <w:r w:rsidRPr="00913B95">
        <w:rPr>
          <w:rFonts w:eastAsia="Arial"/>
          <w:sz w:val="24"/>
        </w:rPr>
        <w:t xml:space="preserve"> </w:t>
      </w:r>
      <w:r w:rsidRPr="00913B95">
        <w:rPr>
          <w:sz w:val="24"/>
        </w:rPr>
        <w:t xml:space="preserve">Exigir o cumprimento de todas as obrigações assumidas pela Contratada, de acordo com os termos de sua proposta; </w:t>
      </w:r>
    </w:p>
    <w:p w14:paraId="77736797" w14:textId="77777777" w:rsidR="008D4CA8" w:rsidRPr="00913B95" w:rsidRDefault="008D4CA8" w:rsidP="008D4CA8">
      <w:pPr>
        <w:rPr>
          <w:sz w:val="24"/>
        </w:rPr>
      </w:pPr>
      <w:r w:rsidRPr="00913B95">
        <w:rPr>
          <w:sz w:val="24"/>
        </w:rPr>
        <w:t>11.3.</w:t>
      </w:r>
      <w:r w:rsidRPr="00913B95">
        <w:rPr>
          <w:rFonts w:eastAsia="Arial"/>
          <w:sz w:val="24"/>
        </w:rPr>
        <w:t xml:space="preserve"> </w:t>
      </w:r>
      <w:r w:rsidRPr="00913B95">
        <w:rPr>
          <w:sz w:val="24"/>
        </w:rPr>
        <w:t xml:space="preserve">Notificar a contratada por escrito da ocorrência de eventuais imperfeiçoes no curso da execução da entrega do objeto, fixando prazo para a sua correção; </w:t>
      </w:r>
    </w:p>
    <w:p w14:paraId="215A119B" w14:textId="77777777" w:rsidR="008D4CA8" w:rsidRPr="00913B95" w:rsidRDefault="008D4CA8" w:rsidP="008D4CA8">
      <w:pPr>
        <w:rPr>
          <w:sz w:val="24"/>
        </w:rPr>
      </w:pPr>
      <w:r w:rsidRPr="00913B95">
        <w:rPr>
          <w:sz w:val="24"/>
        </w:rPr>
        <w:t>11.4.</w:t>
      </w:r>
      <w:r w:rsidRPr="00913B95">
        <w:rPr>
          <w:rFonts w:eastAsia="Arial"/>
          <w:sz w:val="24"/>
        </w:rPr>
        <w:t xml:space="preserve"> </w:t>
      </w:r>
      <w:r w:rsidRPr="00913B95">
        <w:rPr>
          <w:sz w:val="24"/>
        </w:rPr>
        <w:t xml:space="preserve">Prestar as informações e os esclarecimentos que venham a ser solicitados pela contratada em relação ao objeto do contrato; </w:t>
      </w:r>
    </w:p>
    <w:p w14:paraId="176223A1" w14:textId="77777777" w:rsidR="008D4CA8" w:rsidRDefault="008D4CA8" w:rsidP="008D4CA8">
      <w:pPr>
        <w:rPr>
          <w:sz w:val="24"/>
        </w:rPr>
      </w:pPr>
      <w:r w:rsidRPr="00913B95">
        <w:rPr>
          <w:sz w:val="24"/>
        </w:rPr>
        <w:t>11.</w:t>
      </w:r>
      <w:r>
        <w:rPr>
          <w:sz w:val="24"/>
        </w:rPr>
        <w:t>5</w:t>
      </w:r>
      <w:r w:rsidRPr="00913B95">
        <w:rPr>
          <w:sz w:val="24"/>
        </w:rPr>
        <w:t>.</w:t>
      </w:r>
      <w:r w:rsidRPr="00913B95">
        <w:rPr>
          <w:rFonts w:eastAsia="Arial"/>
          <w:sz w:val="24"/>
        </w:rPr>
        <w:t xml:space="preserve"> </w:t>
      </w:r>
      <w:r w:rsidRPr="00913B95">
        <w:rPr>
          <w:sz w:val="24"/>
        </w:rPr>
        <w:t>Pagar à contratada o valor resultante da prestação d</w:t>
      </w:r>
      <w:r>
        <w:rPr>
          <w:sz w:val="24"/>
        </w:rPr>
        <w:t>a</w:t>
      </w:r>
      <w:r w:rsidRPr="00913B95">
        <w:rPr>
          <w:sz w:val="24"/>
        </w:rPr>
        <w:t xml:space="preserve"> entrega do objeto, na forma do </w:t>
      </w:r>
      <w:r>
        <w:rPr>
          <w:sz w:val="24"/>
        </w:rPr>
        <w:t>termo de referência</w:t>
      </w:r>
      <w:r w:rsidRPr="00913B95">
        <w:rPr>
          <w:sz w:val="24"/>
        </w:rPr>
        <w:t xml:space="preserve">. </w:t>
      </w:r>
    </w:p>
    <w:p w14:paraId="2AFD936F" w14:textId="77777777" w:rsidR="008D4CA8" w:rsidRPr="00913B95" w:rsidRDefault="008D4CA8" w:rsidP="008D4CA8">
      <w:pPr>
        <w:rPr>
          <w:sz w:val="24"/>
        </w:rPr>
      </w:pPr>
    </w:p>
    <w:p w14:paraId="5D0DC8C9" w14:textId="77777777" w:rsidR="008D4CA8" w:rsidRPr="00F35695" w:rsidRDefault="008D4CA8" w:rsidP="008D4CA8">
      <w:pPr>
        <w:rPr>
          <w:b/>
          <w:bCs/>
          <w:sz w:val="24"/>
        </w:rPr>
      </w:pPr>
      <w:r w:rsidRPr="00F35695">
        <w:rPr>
          <w:b/>
          <w:bCs/>
          <w:sz w:val="24"/>
        </w:rPr>
        <w:t xml:space="preserve">12. Procedimentos de fiscalização e gerenciamento </w:t>
      </w:r>
    </w:p>
    <w:p w14:paraId="74DCC173" w14:textId="77777777" w:rsidR="008D4CA8" w:rsidRPr="00913B95" w:rsidRDefault="008D4CA8" w:rsidP="008D4CA8">
      <w:pPr>
        <w:rPr>
          <w:sz w:val="24"/>
        </w:rPr>
      </w:pPr>
      <w:r w:rsidRPr="00913B95">
        <w:rPr>
          <w:sz w:val="24"/>
        </w:rPr>
        <w:t>1</w:t>
      </w:r>
      <w:r>
        <w:rPr>
          <w:sz w:val="24"/>
        </w:rPr>
        <w:t>2</w:t>
      </w:r>
      <w:r w:rsidRPr="00913B95">
        <w:rPr>
          <w:sz w:val="24"/>
        </w:rPr>
        <w:t>.1.</w:t>
      </w:r>
      <w:r w:rsidRPr="00913B95">
        <w:rPr>
          <w:rFonts w:eastAsia="Arial"/>
          <w:sz w:val="24"/>
        </w:rPr>
        <w:t xml:space="preserve"> </w:t>
      </w:r>
      <w:r w:rsidRPr="00913B95">
        <w:rPr>
          <w:sz w:val="24"/>
        </w:rPr>
        <w:t xml:space="preserve">O contrato, ou instrumento equivalente oriundo desta contratação, terá como responsável: </w:t>
      </w:r>
    </w:p>
    <w:p w14:paraId="53F65156" w14:textId="77777777" w:rsidR="008D4CA8" w:rsidRPr="00913B95" w:rsidRDefault="008D4CA8" w:rsidP="008D4CA8">
      <w:pPr>
        <w:rPr>
          <w:sz w:val="24"/>
        </w:rPr>
      </w:pPr>
      <w:r w:rsidRPr="00913B95">
        <w:rPr>
          <w:sz w:val="24"/>
        </w:rPr>
        <w:t>12.1.1</w:t>
      </w:r>
      <w:r w:rsidRPr="00913B95">
        <w:rPr>
          <w:rFonts w:eastAsia="Arial"/>
          <w:sz w:val="24"/>
        </w:rPr>
        <w:t xml:space="preserve"> </w:t>
      </w:r>
      <w:r w:rsidRPr="00913B95">
        <w:rPr>
          <w:sz w:val="24"/>
        </w:rPr>
        <w:t xml:space="preserve">GESTOR E FISCAL DE CONTRATO DA CÂMARA MUNICIPAL DE LIMA DUARTE: Emília Mansur de Souza Figueiredo - Chefe de Secretaria, conforme Portaria nº 06/2024. </w:t>
      </w:r>
    </w:p>
    <w:p w14:paraId="2B9B3420" w14:textId="77777777" w:rsidR="008D4CA8" w:rsidRPr="00913B95" w:rsidRDefault="008D4CA8" w:rsidP="008D4CA8">
      <w:pPr>
        <w:rPr>
          <w:sz w:val="24"/>
        </w:rPr>
      </w:pPr>
      <w:r w:rsidRPr="00913B95">
        <w:rPr>
          <w:sz w:val="24"/>
        </w:rPr>
        <w:t>1</w:t>
      </w:r>
      <w:r>
        <w:rPr>
          <w:sz w:val="24"/>
        </w:rPr>
        <w:t>2</w:t>
      </w:r>
      <w:r w:rsidRPr="00913B95">
        <w:rPr>
          <w:sz w:val="24"/>
        </w:rPr>
        <w:t>.2.</w:t>
      </w:r>
      <w:r w:rsidRPr="00913B95">
        <w:rPr>
          <w:rFonts w:eastAsia="Arial"/>
          <w:sz w:val="24"/>
        </w:rPr>
        <w:t xml:space="preserve"> </w:t>
      </w:r>
      <w:r w:rsidRPr="00913B95">
        <w:rPr>
          <w:sz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7C2B67F8" w14:textId="77777777" w:rsidR="008D4CA8" w:rsidRDefault="008D4CA8" w:rsidP="008D4CA8">
      <w:pPr>
        <w:rPr>
          <w:sz w:val="24"/>
        </w:rPr>
      </w:pPr>
      <w:r w:rsidRPr="00913B95">
        <w:rPr>
          <w:sz w:val="24"/>
        </w:rPr>
        <w:t>1</w:t>
      </w:r>
      <w:r>
        <w:rPr>
          <w:sz w:val="24"/>
        </w:rPr>
        <w:t>2</w:t>
      </w:r>
      <w:r w:rsidRPr="00913B95">
        <w:rPr>
          <w:sz w:val="24"/>
        </w:rPr>
        <w:t>.3.</w:t>
      </w:r>
      <w:r w:rsidRPr="00913B95">
        <w:rPr>
          <w:rFonts w:eastAsia="Arial"/>
          <w:sz w:val="24"/>
        </w:rPr>
        <w:t xml:space="preserve"> </w:t>
      </w:r>
      <w:r w:rsidRPr="00913B95">
        <w:rPr>
          <w:sz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284085B6" w14:textId="77777777" w:rsidR="008D4CA8" w:rsidRPr="00913B95" w:rsidRDefault="008D4CA8" w:rsidP="008D4CA8">
      <w:pPr>
        <w:rPr>
          <w:sz w:val="24"/>
        </w:rPr>
      </w:pPr>
    </w:p>
    <w:p w14:paraId="4E567141" w14:textId="77777777" w:rsidR="008D4CA8" w:rsidRPr="00F35695" w:rsidRDefault="008D4CA8" w:rsidP="008D4CA8">
      <w:pPr>
        <w:rPr>
          <w:b/>
          <w:bCs/>
          <w:sz w:val="24"/>
        </w:rPr>
      </w:pPr>
      <w:r w:rsidRPr="00F35695">
        <w:rPr>
          <w:b/>
          <w:bCs/>
          <w:sz w:val="24"/>
        </w:rPr>
        <w:t xml:space="preserve">13. Prazo contratual </w:t>
      </w:r>
    </w:p>
    <w:p w14:paraId="71FCC5CC" w14:textId="30C95375" w:rsidR="008D4CA8" w:rsidRPr="00F35695" w:rsidRDefault="008D4CA8" w:rsidP="008D4CA8">
      <w:pPr>
        <w:rPr>
          <w:sz w:val="24"/>
        </w:rPr>
      </w:pPr>
      <w:r w:rsidRPr="00913B95">
        <w:rPr>
          <w:sz w:val="24"/>
        </w:rPr>
        <w:t xml:space="preserve">13.1. </w:t>
      </w:r>
      <w:r w:rsidR="00E44470">
        <w:rPr>
          <w:sz w:val="24"/>
        </w:rPr>
        <w:t xml:space="preserve">O Prazo de vigência do contrato é de </w:t>
      </w:r>
      <w:r w:rsidR="008C2BD5">
        <w:rPr>
          <w:sz w:val="24"/>
        </w:rPr>
        <w:t>90</w:t>
      </w:r>
      <w:r w:rsidR="00E44470">
        <w:rPr>
          <w:sz w:val="24"/>
        </w:rPr>
        <w:t xml:space="preserve"> (</w:t>
      </w:r>
      <w:r w:rsidR="008C2BD5">
        <w:rPr>
          <w:sz w:val="24"/>
        </w:rPr>
        <w:t>noventa</w:t>
      </w:r>
      <w:r w:rsidR="00E44470">
        <w:rPr>
          <w:sz w:val="24"/>
        </w:rPr>
        <w:t xml:space="preserve">) </w:t>
      </w:r>
      <w:r w:rsidR="008C2BD5">
        <w:rPr>
          <w:sz w:val="24"/>
        </w:rPr>
        <w:t>dias</w:t>
      </w:r>
      <w:r w:rsidR="00E44470">
        <w:rPr>
          <w:sz w:val="24"/>
        </w:rPr>
        <w:t xml:space="preserve"> contados a partir da data de assinatura</w:t>
      </w:r>
      <w:r w:rsidR="008C2BD5">
        <w:rPr>
          <w:sz w:val="24"/>
        </w:rPr>
        <w:t xml:space="preserve"> (prazo de vigência da garantia dos itens).</w:t>
      </w:r>
    </w:p>
    <w:p w14:paraId="2C9DE6E1" w14:textId="77777777" w:rsidR="00E44470" w:rsidRDefault="00E44470" w:rsidP="008D4CA8">
      <w:pPr>
        <w:rPr>
          <w:b/>
          <w:bCs/>
          <w:sz w:val="24"/>
        </w:rPr>
      </w:pPr>
    </w:p>
    <w:p w14:paraId="093D1933" w14:textId="2AF5A3E9" w:rsidR="008D4CA8" w:rsidRPr="00F35695" w:rsidRDefault="008D4CA8" w:rsidP="008D4CA8">
      <w:pPr>
        <w:rPr>
          <w:b/>
          <w:bCs/>
          <w:sz w:val="24"/>
        </w:rPr>
      </w:pPr>
      <w:r w:rsidRPr="00F35695">
        <w:rPr>
          <w:b/>
          <w:bCs/>
          <w:sz w:val="24"/>
        </w:rPr>
        <w:t xml:space="preserve">14. Sanções </w:t>
      </w:r>
    </w:p>
    <w:p w14:paraId="07FC7732"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contratado será responsabilizado administrativamente pelas infrações a que der causa conforme descritas no art. 155 da Lei Federal nº 14.133/21. </w:t>
      </w:r>
    </w:p>
    <w:p w14:paraId="7B757F72"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As sanções a serem aplicadas ao responsável pelas infrações administrativas são as descritas no art. 156 e </w:t>
      </w:r>
      <w:proofErr w:type="spellStart"/>
      <w:r w:rsidRPr="00F35695">
        <w:rPr>
          <w:rFonts w:ascii="Times New Roman" w:hAnsi="Times New Roman" w:cs="Times New Roman"/>
        </w:rPr>
        <w:t>ss</w:t>
      </w:r>
      <w:proofErr w:type="spellEnd"/>
      <w:r w:rsidRPr="00F35695">
        <w:rPr>
          <w:rFonts w:ascii="Times New Roman" w:hAnsi="Times New Roman" w:cs="Times New Roman"/>
        </w:rPr>
        <w:t xml:space="preserve"> da Lei Federal nº 14.133/21 </w:t>
      </w:r>
    </w:p>
    <w:p w14:paraId="65A720CA"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forma e prazos a serem observados para aplicação da sanção, bem como os recursos administrativos a serem interpostos observarão o disposto nos </w:t>
      </w:r>
      <w:proofErr w:type="spellStart"/>
      <w:r w:rsidRPr="00F35695">
        <w:rPr>
          <w:rFonts w:ascii="Times New Roman" w:hAnsi="Times New Roman" w:cs="Times New Roman"/>
        </w:rPr>
        <w:t>arts</w:t>
      </w:r>
      <w:proofErr w:type="spellEnd"/>
      <w:r w:rsidRPr="00F35695">
        <w:rPr>
          <w:rFonts w:ascii="Times New Roman" w:hAnsi="Times New Roman" w:cs="Times New Roman"/>
        </w:rPr>
        <w:t xml:space="preserve">. 157 e 158 da Lei Federal nº 14.133/21. </w:t>
      </w:r>
    </w:p>
    <w:p w14:paraId="57A1C045"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multa será aplicada após a constatação da irregularidade pelo fiscal de contrato, que deverá de imediato informar a Mesa Diretora, com o devido relatório técnico do ocorrido. </w:t>
      </w:r>
    </w:p>
    <w:p w14:paraId="7359FD91"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Entende-se por prejuízo causado à Administração questões financeiras e questões afetas ao descumprimento do princípio da eficiência. </w:t>
      </w:r>
    </w:p>
    <w:p w14:paraId="5E619018"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reincidência no descumprimento das obrigações contratuais ensejará a aplicação da sanção prevista neste contrato, acrescida de 50%. </w:t>
      </w:r>
    </w:p>
    <w:p w14:paraId="5FE1E2A0"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lastRenderedPageBreak/>
        <w:t xml:space="preserve">Considera-se reincidência o fato da empresa contratada ter inadimplido obrigações dispostas neste contrato no período do contrato, contados da aplicação de sanção anterior e a ocorrência do fato gerador da sanção atual. </w:t>
      </w:r>
    </w:p>
    <w:p w14:paraId="77C00244" w14:textId="77777777" w:rsidR="008D4CA8" w:rsidRPr="00F35695"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Sem prejuízo das sanções previstas neste contrato e nos termos do processo administrativo, os atos lesivos à Administração Pública previstos no inc. IV, do art. 5º, da </w:t>
      </w:r>
    </w:p>
    <w:p w14:paraId="1C23EB5C" w14:textId="77777777" w:rsidR="008D4CA8" w:rsidRDefault="008D4CA8" w:rsidP="008D4CA8">
      <w:pPr>
        <w:rPr>
          <w:sz w:val="24"/>
        </w:rPr>
      </w:pPr>
      <w:r w:rsidRPr="00913B95">
        <w:rPr>
          <w:sz w:val="24"/>
        </w:rPr>
        <w:t xml:space="preserve">Lei Federal nº 12.846/13, sujeitarão os infratores às penalidades previstas na referida lei. </w:t>
      </w:r>
    </w:p>
    <w:p w14:paraId="2908D741"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Em qualquer hipótese de aplicação de sanções administrativas assegurar-se-á o direito ao contraditório e à ampla defesa. </w:t>
      </w:r>
    </w:p>
    <w:p w14:paraId="5336A03E"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As multas são independentes entre si, e a aplicação de uma não exclui a outra. 11.11.</w:t>
      </w:r>
      <w:r w:rsidRPr="00F35695">
        <w:rPr>
          <w:rFonts w:ascii="Times New Roman" w:eastAsia="Arial" w:hAnsi="Times New Roman" w:cs="Times New Roman"/>
        </w:rPr>
        <w:t xml:space="preserve"> </w:t>
      </w:r>
      <w:r w:rsidRPr="00F35695">
        <w:rPr>
          <w:rFonts w:ascii="Times New Roman" w:hAnsi="Times New Roman" w:cs="Times New Roman"/>
        </w:rPr>
        <w:t xml:space="preserve">As penalidades previstas poderão ser aplicadas de forma isolada ou cumulativamente, sem prejuízo do cancelamento do registro nos termos da legislação pertinente. </w:t>
      </w:r>
    </w:p>
    <w:p w14:paraId="71AE5D3C"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493BCA85"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15D536BF" w14:textId="77777777" w:rsidR="008D4CA8" w:rsidRPr="00F35695" w:rsidRDefault="008D4CA8" w:rsidP="000647B5">
      <w:pPr>
        <w:pStyle w:val="PargrafodaLista"/>
        <w:numPr>
          <w:ilvl w:val="1"/>
          <w:numId w:val="11"/>
        </w:numPr>
        <w:spacing w:after="0" w:line="240" w:lineRule="auto"/>
        <w:ind w:left="0" w:firstLine="0"/>
        <w:jc w:val="both"/>
        <w:rPr>
          <w:rFonts w:ascii="Times New Roman" w:hAnsi="Times New Roman" w:cs="Times New Roman"/>
        </w:rPr>
      </w:pPr>
    </w:p>
    <w:p w14:paraId="2FA1FC7A" w14:textId="77777777" w:rsidR="008D4CA8" w:rsidRDefault="008D4CA8" w:rsidP="008D4CA8">
      <w:pPr>
        <w:rPr>
          <w:b/>
          <w:bCs/>
          <w:sz w:val="24"/>
        </w:rPr>
      </w:pPr>
    </w:p>
    <w:p w14:paraId="745FABE9" w14:textId="77777777" w:rsidR="008D4CA8" w:rsidRPr="00F35695" w:rsidRDefault="008D4CA8" w:rsidP="008D4CA8">
      <w:pPr>
        <w:rPr>
          <w:b/>
          <w:bCs/>
          <w:sz w:val="24"/>
        </w:rPr>
      </w:pPr>
      <w:r w:rsidRPr="00F35695">
        <w:rPr>
          <w:b/>
          <w:bCs/>
          <w:sz w:val="24"/>
        </w:rPr>
        <w:t xml:space="preserve">15. FORMAS E CRISTÉRIOS DE SELEÇÃO DO FORNECEDOR </w:t>
      </w:r>
    </w:p>
    <w:p w14:paraId="1552F073" w14:textId="77777777" w:rsidR="008D4CA8" w:rsidRDefault="008D4CA8" w:rsidP="008D4CA8">
      <w:pPr>
        <w:rPr>
          <w:sz w:val="24"/>
        </w:rPr>
      </w:pPr>
      <w:r w:rsidRPr="00913B95">
        <w:rPr>
          <w:sz w:val="24"/>
        </w:rPr>
        <w:t>15.1. O fornecedor será selecionado por meio de realização de procedimento de Dispensa de Licitação</w:t>
      </w:r>
      <w:r>
        <w:rPr>
          <w:sz w:val="24"/>
        </w:rPr>
        <w:t xml:space="preserve">, </w:t>
      </w:r>
      <w:r w:rsidRPr="00913B95">
        <w:rPr>
          <w:sz w:val="24"/>
        </w:rPr>
        <w:t xml:space="preserve">com fundamento no inciso II do art. 75, da Lei Federal nº 14.133/2021, que culminará com a seleção da proposta de menor preço a ser ofertado pelo lote. </w:t>
      </w:r>
    </w:p>
    <w:p w14:paraId="29DF2759" w14:textId="77777777" w:rsidR="008D4CA8" w:rsidRPr="00913B95" w:rsidRDefault="008D4CA8" w:rsidP="008D4CA8">
      <w:pPr>
        <w:rPr>
          <w:sz w:val="24"/>
        </w:rPr>
      </w:pPr>
    </w:p>
    <w:p w14:paraId="70F54451" w14:textId="77777777" w:rsidR="008D4CA8" w:rsidRPr="00F35695" w:rsidRDefault="008D4CA8" w:rsidP="008D4CA8">
      <w:pPr>
        <w:rPr>
          <w:b/>
          <w:bCs/>
          <w:sz w:val="24"/>
        </w:rPr>
      </w:pPr>
      <w:r w:rsidRPr="00F35695">
        <w:rPr>
          <w:b/>
          <w:bCs/>
          <w:sz w:val="24"/>
        </w:rPr>
        <w:t xml:space="preserve">16. EXIGÊNCIAS DE HABILITAÇÃO </w:t>
      </w:r>
    </w:p>
    <w:p w14:paraId="0C4AC01B"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2AB875D8" w14:textId="77777777" w:rsidR="008D4CA8" w:rsidRPr="00F35695" w:rsidRDefault="008D4CA8" w:rsidP="000647B5">
      <w:pPr>
        <w:pStyle w:val="PargrafodaLista"/>
        <w:numPr>
          <w:ilvl w:val="2"/>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Cadastro Nacional de Empresas Inidôneas e Suspensas - CEIS, mantido pela Controladoria-Geral da União (</w:t>
      </w:r>
      <w:hyperlink r:id="rId13">
        <w:r w:rsidRPr="00F35695">
          <w:rPr>
            <w:rStyle w:val="Hyperlink"/>
            <w:rFonts w:ascii="Times New Roman" w:hAnsi="Times New Roman" w:cs="Times New Roman"/>
          </w:rPr>
          <w:t>www.portaldatransparencia.gov.br/ceis</w:t>
        </w:r>
      </w:hyperlink>
      <w:hyperlink r:id="rId14">
        <w:r w:rsidRPr="00F35695">
          <w:rPr>
            <w:rStyle w:val="Hyperlink"/>
            <w:rFonts w:ascii="Times New Roman" w:hAnsi="Times New Roman" w:cs="Times New Roman"/>
          </w:rPr>
          <w:t>)</w:t>
        </w:r>
      </w:hyperlink>
      <w:r w:rsidRPr="00F35695">
        <w:rPr>
          <w:rFonts w:ascii="Times New Roman" w:hAnsi="Times New Roman" w:cs="Times New Roman"/>
        </w:rPr>
        <w:t>;</w:t>
      </w:r>
    </w:p>
    <w:p w14:paraId="018DB57E" w14:textId="77777777" w:rsidR="008D4CA8" w:rsidRDefault="008D4CA8" w:rsidP="000647B5">
      <w:pPr>
        <w:pStyle w:val="PargrafodaLista"/>
        <w:numPr>
          <w:ilvl w:val="2"/>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Cadastro Nacional de Empresas Punidas – CNEP, mantido pela Controladoria-</w:t>
      </w:r>
      <w:r>
        <w:rPr>
          <w:rFonts w:ascii="Times New Roman" w:hAnsi="Times New Roman" w:cs="Times New Roman"/>
        </w:rPr>
        <w:t xml:space="preserve"> </w:t>
      </w:r>
      <w:r w:rsidRPr="00F35695">
        <w:rPr>
          <w:rFonts w:ascii="Times New Roman" w:hAnsi="Times New Roman" w:cs="Times New Roman"/>
        </w:rPr>
        <w:t>Geral da União (</w:t>
      </w:r>
      <w:hyperlink r:id="rId15">
        <w:r w:rsidRPr="00F35695">
          <w:rPr>
            <w:rStyle w:val="Hyperlink"/>
            <w:rFonts w:ascii="Times New Roman" w:hAnsi="Times New Roman" w:cs="Times New Roman"/>
          </w:rPr>
          <w:t>https://www.portaltransparencia.gov.br/sancoes/cnep</w:t>
        </w:r>
      </w:hyperlink>
      <w:hyperlink r:id="rId16">
        <w:r w:rsidRPr="00F35695">
          <w:rPr>
            <w:rStyle w:val="Hyperlink"/>
            <w:rFonts w:ascii="Times New Roman" w:hAnsi="Times New Roman" w:cs="Times New Roman"/>
          </w:rPr>
          <w:t>)</w:t>
        </w:r>
      </w:hyperlink>
      <w:r w:rsidRPr="00F35695">
        <w:rPr>
          <w:rFonts w:ascii="Times New Roman" w:hAnsi="Times New Roman" w:cs="Times New Roman"/>
        </w:rPr>
        <w:t xml:space="preserve"> </w:t>
      </w:r>
    </w:p>
    <w:p w14:paraId="347843F8"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4D4467C"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5EA0A34D"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tentativa de burla será verificada por meio dos vínculos societários, linhas de fornecimento similares, dentre outros. </w:t>
      </w:r>
    </w:p>
    <w:p w14:paraId="53A5B586"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interessado será convocado para manifestação previamente a uma eventual negativa de contratação. </w:t>
      </w:r>
    </w:p>
    <w:p w14:paraId="1731B118"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lastRenderedPageBreak/>
        <w:t>Não serão aceitos documentos de habilitação com indicação de CNPJ/CPF diferentes, salvo aqueles legalmente permitidos.</w:t>
      </w:r>
    </w:p>
    <w:p w14:paraId="6863B045"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536E3D01"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Serão aceitos registros de CNPJ de fornecedor matriz e filial com diferenças de números de documentos pertinentes ao CND e ao CRF/FGTS, quando for comprovada a centralização do recolhimento dessas contribuições </w:t>
      </w:r>
    </w:p>
    <w:p w14:paraId="47272575" w14:textId="77777777" w:rsidR="008D4CA8" w:rsidRPr="00F35695" w:rsidRDefault="008D4CA8" w:rsidP="008D4CA8">
      <w:pPr>
        <w:pStyle w:val="PargrafodaLista"/>
        <w:ind w:left="0"/>
        <w:jc w:val="both"/>
        <w:rPr>
          <w:rFonts w:ascii="Times New Roman" w:hAnsi="Times New Roman" w:cs="Times New Roman"/>
        </w:rPr>
      </w:pPr>
    </w:p>
    <w:p w14:paraId="43D4C807" w14:textId="77777777" w:rsidR="008D4CA8" w:rsidRPr="00F35695" w:rsidRDefault="008D4CA8" w:rsidP="008D4CA8">
      <w:pPr>
        <w:rPr>
          <w:b/>
          <w:bCs/>
          <w:sz w:val="24"/>
        </w:rPr>
      </w:pPr>
      <w:r w:rsidRPr="00F35695">
        <w:rPr>
          <w:b/>
          <w:bCs/>
          <w:sz w:val="24"/>
        </w:rPr>
        <w:t xml:space="preserve">17. Relação dos documentos </w:t>
      </w:r>
    </w:p>
    <w:p w14:paraId="550A9C2B" w14:textId="77777777" w:rsidR="008D4CA8" w:rsidRPr="00913B95" w:rsidRDefault="008D4CA8" w:rsidP="008D4CA8">
      <w:pPr>
        <w:rPr>
          <w:sz w:val="24"/>
        </w:rPr>
      </w:pPr>
      <w:r w:rsidRPr="00DF631E">
        <w:rPr>
          <w:rFonts w:eastAsia="Calibri"/>
          <w:noProof/>
          <w:sz w:val="24"/>
        </w:rPr>
        <mc:AlternateContent>
          <mc:Choice Requires="wpg">
            <w:drawing>
              <wp:anchor distT="0" distB="0" distL="114300" distR="114300" simplePos="0" relativeHeight="251659264" behindDoc="1" locked="0" layoutInCell="1" allowOverlap="1" wp14:anchorId="27DF2096" wp14:editId="35F1F455">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6A187BF8"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DF631E">
        <w:rPr>
          <w:sz w:val="24"/>
        </w:rPr>
        <w:t>17.1.</w:t>
      </w:r>
      <w:r w:rsidRPr="00DF631E">
        <w:rPr>
          <w:rFonts w:eastAsia="Arial"/>
          <w:sz w:val="24"/>
        </w:rPr>
        <w:t xml:space="preserve"> </w:t>
      </w:r>
      <w:r w:rsidRPr="00DF631E">
        <w:rPr>
          <w:sz w:val="24"/>
        </w:rPr>
        <w:t>Para fins de habilitação, deverá o interessado comprovar os seguintes requisitos, que serão exigidos conforme sua natureza jurídica:</w:t>
      </w:r>
      <w:r w:rsidRPr="00913B95">
        <w:rPr>
          <w:sz w:val="24"/>
        </w:rPr>
        <w:t xml:space="preserve"> </w:t>
      </w:r>
    </w:p>
    <w:p w14:paraId="1315FF7B" w14:textId="77777777" w:rsidR="008D4CA8" w:rsidRPr="00913B95" w:rsidRDefault="008D4CA8" w:rsidP="008D4CA8">
      <w:pPr>
        <w:rPr>
          <w:sz w:val="24"/>
        </w:rPr>
      </w:pPr>
      <w:r w:rsidRPr="00913B95">
        <w:rPr>
          <w:sz w:val="24"/>
        </w:rPr>
        <w:t>17.2.</w:t>
      </w:r>
      <w:r w:rsidRPr="00913B95">
        <w:rPr>
          <w:rFonts w:eastAsia="Arial"/>
          <w:sz w:val="24"/>
        </w:rPr>
        <w:t xml:space="preserve"> </w:t>
      </w:r>
      <w:r w:rsidRPr="00913B95">
        <w:rPr>
          <w:sz w:val="24"/>
        </w:rPr>
        <w:t xml:space="preserve"> Habilitação jurídica: </w:t>
      </w:r>
    </w:p>
    <w:p w14:paraId="4DF6CDB3" w14:textId="77777777" w:rsidR="008D4CA8" w:rsidRPr="00913B95" w:rsidRDefault="008D4CA8" w:rsidP="008D4CA8">
      <w:pPr>
        <w:rPr>
          <w:sz w:val="24"/>
        </w:rPr>
      </w:pPr>
      <w:r w:rsidRPr="00913B95">
        <w:rPr>
          <w:sz w:val="24"/>
        </w:rPr>
        <w:t>17.2.1.</w:t>
      </w:r>
      <w:r w:rsidRPr="00913B95">
        <w:rPr>
          <w:rFonts w:eastAsia="Arial"/>
          <w:sz w:val="24"/>
        </w:rPr>
        <w:t xml:space="preserve"> </w:t>
      </w:r>
      <w:r w:rsidRPr="00913B95">
        <w:rPr>
          <w:sz w:val="24"/>
        </w:rPr>
        <w:t xml:space="preserve">Pessoa física: cédula de identidade (RG) ou documento equivalente que, por força de lei, tenha validade para fins de identificação em todo o território nacional; </w:t>
      </w:r>
    </w:p>
    <w:p w14:paraId="103E38D4" w14:textId="77777777" w:rsidR="008D4CA8" w:rsidRPr="00913B95" w:rsidRDefault="008D4CA8" w:rsidP="008D4CA8">
      <w:pPr>
        <w:rPr>
          <w:sz w:val="24"/>
        </w:rPr>
      </w:pPr>
      <w:r w:rsidRPr="00913B95">
        <w:rPr>
          <w:sz w:val="24"/>
        </w:rPr>
        <w:t>17.2.2.</w:t>
      </w:r>
      <w:r w:rsidRPr="00913B95">
        <w:rPr>
          <w:rFonts w:eastAsia="Arial"/>
          <w:sz w:val="24"/>
        </w:rPr>
        <w:t xml:space="preserve"> </w:t>
      </w:r>
      <w:r w:rsidRPr="00913B95">
        <w:rPr>
          <w:sz w:val="24"/>
        </w:rPr>
        <w:t xml:space="preserve">Empresário individual: inscrição no Registro Público de Empresas Mercantis, a cargo da Junta Comercial da respectiva sede; </w:t>
      </w:r>
    </w:p>
    <w:p w14:paraId="3E16C69A" w14:textId="77777777" w:rsidR="008D4CA8" w:rsidRPr="00913B95" w:rsidRDefault="008D4CA8" w:rsidP="008D4CA8">
      <w:pPr>
        <w:rPr>
          <w:sz w:val="24"/>
        </w:rPr>
      </w:pPr>
      <w:r w:rsidRPr="00913B95">
        <w:rPr>
          <w:sz w:val="24"/>
        </w:rPr>
        <w:t>17.2.3.</w:t>
      </w:r>
      <w:r w:rsidRPr="00913B95">
        <w:rPr>
          <w:rFonts w:eastAsia="Arial"/>
          <w:sz w:val="24"/>
        </w:rPr>
        <w:t xml:space="preserve"> </w:t>
      </w:r>
      <w:r w:rsidRPr="00913B95">
        <w:rPr>
          <w:sz w:val="24"/>
        </w:rPr>
        <w:t>Microempreendedor Individual - MEI: Certificado da Condição de Microempreendedor Individual - CCMEI, cuja aceitação ficará condicionada à verificação da autenticidade no sítio</w:t>
      </w:r>
      <w:hyperlink r:id="rId17">
        <w:r w:rsidRPr="00913B95">
          <w:rPr>
            <w:rStyle w:val="Hyperlink"/>
            <w:sz w:val="24"/>
          </w:rPr>
          <w:t xml:space="preserve"> </w:t>
        </w:r>
      </w:hyperlink>
      <w:hyperlink r:id="rId18">
        <w:r w:rsidRPr="00913B95">
          <w:rPr>
            <w:rStyle w:val="Hyperlink"/>
            <w:sz w:val="24"/>
          </w:rPr>
          <w:t>https://www.gov.br/empresas</w:t>
        </w:r>
      </w:hyperlink>
      <w:hyperlink r:id="rId19">
        <w:r w:rsidRPr="00913B95">
          <w:rPr>
            <w:rStyle w:val="Hyperlink"/>
            <w:sz w:val="24"/>
          </w:rPr>
          <w:t>-</w:t>
        </w:r>
      </w:hyperlink>
      <w:hyperlink r:id="rId20">
        <w:r w:rsidRPr="00913B95">
          <w:rPr>
            <w:rStyle w:val="Hyperlink"/>
            <w:sz w:val="24"/>
          </w:rPr>
          <w:t>e</w:t>
        </w:r>
      </w:hyperlink>
      <w:hyperlink r:id="rId21">
        <w:r w:rsidRPr="00913B95">
          <w:rPr>
            <w:rStyle w:val="Hyperlink"/>
            <w:sz w:val="24"/>
          </w:rPr>
          <w:t>-</w:t>
        </w:r>
        <w:proofErr w:type="spellStart"/>
      </w:hyperlink>
      <w:hyperlink r:id="rId22">
        <w:r w:rsidRPr="00913B95">
          <w:rPr>
            <w:rStyle w:val="Hyperlink"/>
            <w:sz w:val="24"/>
          </w:rPr>
          <w:t>negocios</w:t>
        </w:r>
        <w:proofErr w:type="spellEnd"/>
        <w:r w:rsidRPr="00913B95">
          <w:rPr>
            <w:rStyle w:val="Hyperlink"/>
            <w:sz w:val="24"/>
          </w:rPr>
          <w:t>/</w:t>
        </w:r>
        <w:proofErr w:type="spellStart"/>
        <w:r w:rsidRPr="00913B95">
          <w:rPr>
            <w:rStyle w:val="Hyperlink"/>
            <w:sz w:val="24"/>
          </w:rPr>
          <w:t>pt</w:t>
        </w:r>
      </w:hyperlink>
      <w:hyperlink r:id="rId23"/>
      <w:hyperlink r:id="rId24">
        <w:r w:rsidRPr="00913B95">
          <w:rPr>
            <w:rStyle w:val="Hyperlink"/>
            <w:sz w:val="24"/>
          </w:rPr>
          <w:t>br</w:t>
        </w:r>
        <w:proofErr w:type="spellEnd"/>
        <w:r w:rsidRPr="00913B95">
          <w:rPr>
            <w:rStyle w:val="Hyperlink"/>
            <w:sz w:val="24"/>
          </w:rPr>
          <w:t>/empreendedor</w:t>
        </w:r>
      </w:hyperlink>
      <w:hyperlink r:id="rId25">
        <w:r w:rsidRPr="00913B95">
          <w:rPr>
            <w:rStyle w:val="Hyperlink"/>
            <w:sz w:val="24"/>
          </w:rPr>
          <w:t>;</w:t>
        </w:r>
      </w:hyperlink>
      <w:r w:rsidRPr="00913B95">
        <w:rPr>
          <w:sz w:val="24"/>
        </w:rPr>
        <w:t xml:space="preserve"> </w:t>
      </w:r>
    </w:p>
    <w:p w14:paraId="0ACDD485" w14:textId="77777777" w:rsidR="008D4CA8" w:rsidRPr="00913B95" w:rsidRDefault="008D4CA8" w:rsidP="008D4CA8">
      <w:pPr>
        <w:rPr>
          <w:sz w:val="24"/>
        </w:rPr>
      </w:pPr>
      <w:r w:rsidRPr="00913B95">
        <w:rPr>
          <w:sz w:val="24"/>
        </w:rPr>
        <w:t>17.2.4.</w:t>
      </w:r>
      <w:r w:rsidRPr="00913B95">
        <w:rPr>
          <w:rFonts w:eastAsia="Arial"/>
          <w:sz w:val="24"/>
        </w:rPr>
        <w:t xml:space="preserve"> </w:t>
      </w:r>
      <w:r w:rsidRPr="00913B95">
        <w:rPr>
          <w:sz w:val="24"/>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55EAC3D" w14:textId="77777777" w:rsidR="008D4CA8" w:rsidRPr="00913B95" w:rsidRDefault="008D4CA8" w:rsidP="008D4CA8">
      <w:pPr>
        <w:rPr>
          <w:sz w:val="24"/>
        </w:rPr>
      </w:pPr>
      <w:r w:rsidRPr="00913B95">
        <w:rPr>
          <w:sz w:val="24"/>
        </w:rPr>
        <w:t>17.2.5.</w:t>
      </w:r>
      <w:r w:rsidRPr="00913B95">
        <w:rPr>
          <w:rFonts w:eastAsia="Arial"/>
          <w:sz w:val="24"/>
        </w:rPr>
        <w:t xml:space="preserve"> </w:t>
      </w:r>
      <w:r w:rsidRPr="00913B95">
        <w:rPr>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913B95">
          <w:rPr>
            <w:rStyle w:val="Hyperlink"/>
            <w:sz w:val="24"/>
          </w:rPr>
          <w:t xml:space="preserve"> </w:t>
        </w:r>
      </w:hyperlink>
      <w:hyperlink r:id="rId27">
        <w:r w:rsidRPr="00913B95">
          <w:rPr>
            <w:rStyle w:val="Hyperlink"/>
            <w:sz w:val="24"/>
          </w:rPr>
          <w:t>Normativa DREI/ME n.º 77, de 18 de</w:t>
        </w:r>
      </w:hyperlink>
      <w:hyperlink r:id="rId28">
        <w:r w:rsidRPr="00913B95">
          <w:rPr>
            <w:rStyle w:val="Hyperlink"/>
            <w:sz w:val="24"/>
          </w:rPr>
          <w:t xml:space="preserve"> </w:t>
        </w:r>
      </w:hyperlink>
      <w:hyperlink r:id="rId29">
        <w:r w:rsidRPr="00913B95">
          <w:rPr>
            <w:rStyle w:val="Hyperlink"/>
            <w:sz w:val="24"/>
          </w:rPr>
          <w:t>março de 2020</w:t>
        </w:r>
      </w:hyperlink>
      <w:hyperlink r:id="rId30">
        <w:r w:rsidRPr="00913B95">
          <w:rPr>
            <w:rStyle w:val="Hyperlink"/>
            <w:sz w:val="24"/>
          </w:rPr>
          <w:t>.</w:t>
        </w:r>
      </w:hyperlink>
      <w:r w:rsidRPr="00913B95">
        <w:rPr>
          <w:sz w:val="24"/>
        </w:rPr>
        <w:t xml:space="preserve"> </w:t>
      </w:r>
    </w:p>
    <w:p w14:paraId="6C02634B" w14:textId="77777777" w:rsidR="008D4CA8" w:rsidRPr="00913B95" w:rsidRDefault="008D4CA8" w:rsidP="008D4CA8">
      <w:pPr>
        <w:rPr>
          <w:sz w:val="24"/>
        </w:rPr>
      </w:pPr>
      <w:r w:rsidRPr="00913B95">
        <w:rPr>
          <w:sz w:val="24"/>
        </w:rPr>
        <w:t>17.2.6.</w:t>
      </w:r>
      <w:r w:rsidRPr="00913B95">
        <w:rPr>
          <w:rFonts w:eastAsia="Arial"/>
          <w:sz w:val="24"/>
        </w:rPr>
        <w:t xml:space="preserve"> </w:t>
      </w:r>
      <w:r w:rsidRPr="00913B95">
        <w:rPr>
          <w:sz w:val="24"/>
        </w:rPr>
        <w:t xml:space="preserve">Sociedade simples: inscrição do ato constitutivo no Registro Civil de Pessoas Jurídicas do local de sua sede, acompanhada de documento comprobatório de seus administradores; </w:t>
      </w:r>
    </w:p>
    <w:p w14:paraId="32A82ADC" w14:textId="77777777" w:rsidR="008D4CA8" w:rsidRPr="00913B95" w:rsidRDefault="008D4CA8" w:rsidP="008D4CA8">
      <w:pPr>
        <w:rPr>
          <w:sz w:val="24"/>
        </w:rPr>
      </w:pPr>
      <w:r w:rsidRPr="00913B95">
        <w:rPr>
          <w:sz w:val="24"/>
        </w:rPr>
        <w:t>17.2.7.</w:t>
      </w:r>
      <w:r w:rsidRPr="00913B95">
        <w:rPr>
          <w:rFonts w:eastAsia="Arial"/>
          <w:sz w:val="24"/>
        </w:rPr>
        <w:t xml:space="preserve"> </w:t>
      </w:r>
      <w:r w:rsidRPr="00913B95">
        <w:rPr>
          <w:sz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78810213" w14:textId="77777777" w:rsidR="008D4CA8" w:rsidRPr="00913B95" w:rsidRDefault="008D4CA8" w:rsidP="008D4CA8">
      <w:pPr>
        <w:rPr>
          <w:sz w:val="24"/>
        </w:rPr>
      </w:pPr>
      <w:r w:rsidRPr="00913B95">
        <w:rPr>
          <w:sz w:val="24"/>
        </w:rPr>
        <w:t>17.2.11.</w:t>
      </w:r>
      <w:r w:rsidRPr="00913B95">
        <w:rPr>
          <w:rFonts w:eastAsia="Arial"/>
          <w:sz w:val="24"/>
        </w:rPr>
        <w:t xml:space="preserve"> </w:t>
      </w:r>
      <w:r w:rsidRPr="00913B95">
        <w:rPr>
          <w:sz w:val="24"/>
        </w:rPr>
        <w:t xml:space="preserve">Os documentos apresentados deverão estar acompanhados de todas as alterações ou da consolidação respectiva. </w:t>
      </w:r>
    </w:p>
    <w:p w14:paraId="08399009" w14:textId="77777777" w:rsidR="008D4CA8" w:rsidRPr="00913B95" w:rsidRDefault="008D4CA8" w:rsidP="008D4CA8">
      <w:pPr>
        <w:rPr>
          <w:sz w:val="24"/>
        </w:rPr>
      </w:pPr>
      <w:r w:rsidRPr="00913B95">
        <w:rPr>
          <w:sz w:val="24"/>
        </w:rPr>
        <w:t>17.3.</w:t>
      </w:r>
      <w:r w:rsidRPr="00913B95">
        <w:rPr>
          <w:rFonts w:eastAsia="Arial"/>
          <w:sz w:val="24"/>
        </w:rPr>
        <w:t xml:space="preserve"> </w:t>
      </w:r>
      <w:r w:rsidRPr="00913B95">
        <w:rPr>
          <w:sz w:val="24"/>
        </w:rPr>
        <w:t xml:space="preserve">Habilitação fiscal, social e trabalhista </w:t>
      </w:r>
    </w:p>
    <w:p w14:paraId="235769EF" w14:textId="77777777" w:rsidR="008D4CA8" w:rsidRPr="00913B95" w:rsidRDefault="008D4CA8" w:rsidP="008D4CA8">
      <w:pPr>
        <w:rPr>
          <w:sz w:val="24"/>
        </w:rPr>
      </w:pPr>
      <w:r w:rsidRPr="00913B95">
        <w:rPr>
          <w:sz w:val="24"/>
        </w:rPr>
        <w:t>17.3.1.</w:t>
      </w:r>
      <w:r w:rsidRPr="00913B95">
        <w:rPr>
          <w:rFonts w:eastAsia="Arial"/>
          <w:sz w:val="24"/>
        </w:rPr>
        <w:t xml:space="preserve"> </w:t>
      </w:r>
      <w:r w:rsidRPr="00913B95">
        <w:rPr>
          <w:sz w:val="24"/>
        </w:rPr>
        <w:t xml:space="preserve">Prova de inscrição no Cadastro Nacional de Pessoas Jurídicas ou no Cadastro de Pessoas Físicas, conforme o caso; </w:t>
      </w:r>
    </w:p>
    <w:p w14:paraId="6B87C64B" w14:textId="77777777" w:rsidR="008D4CA8" w:rsidRPr="00913B95" w:rsidRDefault="008D4CA8" w:rsidP="008D4CA8">
      <w:pPr>
        <w:rPr>
          <w:sz w:val="24"/>
        </w:rPr>
      </w:pPr>
      <w:r w:rsidRPr="00913B95">
        <w:rPr>
          <w:sz w:val="24"/>
        </w:rPr>
        <w:t>17.3.2.</w:t>
      </w:r>
      <w:r w:rsidRPr="00913B95">
        <w:rPr>
          <w:rFonts w:eastAsia="Arial"/>
          <w:sz w:val="24"/>
        </w:rPr>
        <w:t xml:space="preserve"> </w:t>
      </w:r>
      <w:r w:rsidRPr="00913B95">
        <w:rPr>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w:t>
      </w:r>
      <w:r w:rsidRPr="00913B95">
        <w:rPr>
          <w:sz w:val="24"/>
        </w:rPr>
        <w:lastRenderedPageBreak/>
        <w:t xml:space="preserve">União (DAU) por elas administrados, inclusive aqueles relativos à Seguridade Social, nos termos da Portaria Conjunta nº 1.751, de 02 de outubro de 2014, do Secretário da Receita Federal do Brasil e da Procuradora-Geral da Fazenda Nacional. </w:t>
      </w:r>
    </w:p>
    <w:p w14:paraId="3F9060E6" w14:textId="77777777" w:rsidR="008D4CA8" w:rsidRDefault="008D4CA8" w:rsidP="008D4CA8">
      <w:pPr>
        <w:rPr>
          <w:sz w:val="24"/>
        </w:rPr>
      </w:pPr>
      <w:r w:rsidRPr="00913B95">
        <w:rPr>
          <w:sz w:val="24"/>
        </w:rPr>
        <w:t>17.3.3.</w:t>
      </w:r>
      <w:r w:rsidRPr="00913B95">
        <w:rPr>
          <w:rFonts w:eastAsia="Arial"/>
          <w:sz w:val="24"/>
        </w:rPr>
        <w:t xml:space="preserve"> </w:t>
      </w:r>
      <w:r w:rsidRPr="00913B95">
        <w:rPr>
          <w:sz w:val="24"/>
        </w:rPr>
        <w:t xml:space="preserve">Prova de regularidade com o Fundo de Garantia do Tempo de Serviço (FGTS); </w:t>
      </w:r>
    </w:p>
    <w:p w14:paraId="52CF2E98" w14:textId="5A7E6FB5" w:rsidR="008D4CA8" w:rsidRPr="00913B95" w:rsidRDefault="008D4CA8" w:rsidP="008D4CA8">
      <w:pPr>
        <w:rPr>
          <w:sz w:val="24"/>
        </w:rPr>
      </w:pPr>
      <w:r w:rsidRPr="00913B95">
        <w:rPr>
          <w:sz w:val="24"/>
        </w:rPr>
        <w:t>17.3.4.</w:t>
      </w:r>
      <w:r w:rsidRPr="00913B95">
        <w:rPr>
          <w:rFonts w:eastAsia="Arial"/>
          <w:sz w:val="24"/>
        </w:rPr>
        <w:t xml:space="preserve"> </w:t>
      </w:r>
      <w:r w:rsidRPr="00913B95">
        <w:rPr>
          <w:sz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713B6717" w14:textId="77777777" w:rsidR="008D4CA8" w:rsidRPr="00913B95" w:rsidRDefault="008D4CA8" w:rsidP="008D4CA8">
      <w:pPr>
        <w:rPr>
          <w:sz w:val="24"/>
        </w:rPr>
      </w:pPr>
      <w:r w:rsidRPr="00913B95">
        <w:rPr>
          <w:sz w:val="24"/>
        </w:rPr>
        <w:t>17.3.5.</w:t>
      </w:r>
      <w:r w:rsidRPr="00913B95">
        <w:rPr>
          <w:rFonts w:eastAsia="Arial"/>
          <w:sz w:val="24"/>
        </w:rPr>
        <w:t xml:space="preserve"> </w:t>
      </w:r>
      <w:r w:rsidRPr="00913B95">
        <w:rPr>
          <w:sz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0EEED073" w14:textId="77777777" w:rsidR="008D4CA8" w:rsidRPr="00913B95" w:rsidRDefault="008D4CA8" w:rsidP="008D4CA8">
      <w:pPr>
        <w:rPr>
          <w:sz w:val="24"/>
        </w:rPr>
      </w:pPr>
    </w:p>
    <w:p w14:paraId="7ABF7F40" w14:textId="77777777" w:rsidR="008D4CA8" w:rsidRPr="00D7613F" w:rsidRDefault="008D4CA8" w:rsidP="000647B5">
      <w:pPr>
        <w:pStyle w:val="PargrafodaLista"/>
        <w:numPr>
          <w:ilvl w:val="0"/>
          <w:numId w:val="12"/>
        </w:numPr>
        <w:spacing w:after="0" w:line="240" w:lineRule="auto"/>
        <w:rPr>
          <w:rFonts w:ascii="Times New Roman" w:hAnsi="Times New Roman" w:cs="Times New Roman"/>
          <w:b/>
          <w:bCs/>
        </w:rPr>
      </w:pPr>
      <w:r w:rsidRPr="00D7613F">
        <w:rPr>
          <w:rFonts w:ascii="Times New Roman" w:hAnsi="Times New Roman" w:cs="Times New Roman"/>
          <w:b/>
          <w:bCs/>
        </w:rPr>
        <w:t>Responsáveis</w:t>
      </w:r>
    </w:p>
    <w:p w14:paraId="1F81B24A" w14:textId="77777777" w:rsidR="008D4CA8" w:rsidRPr="00D7613F" w:rsidRDefault="008D4CA8" w:rsidP="008D4CA8">
      <w:pPr>
        <w:pStyle w:val="PargrafodaLista"/>
        <w:ind w:left="480"/>
        <w:rPr>
          <w:rFonts w:ascii="Times New Roman" w:hAnsi="Times New Roman" w:cs="Times New Roman"/>
          <w:b/>
          <w:bCs/>
        </w:rPr>
      </w:pPr>
      <w:r w:rsidRPr="00D7613F">
        <w:rPr>
          <w:rFonts w:ascii="Times New Roman" w:hAnsi="Times New Roman" w:cs="Times New Roman"/>
          <w:b/>
          <w:bCs/>
        </w:rPr>
        <w:t xml:space="preserve"> </w:t>
      </w:r>
    </w:p>
    <w:p w14:paraId="4DA1740F" w14:textId="77777777" w:rsidR="008D4CA8" w:rsidRPr="00913B95" w:rsidRDefault="008D4CA8" w:rsidP="008D4CA8">
      <w:pPr>
        <w:rPr>
          <w:sz w:val="24"/>
        </w:rPr>
      </w:pPr>
    </w:p>
    <w:p w14:paraId="45EE3F9C" w14:textId="77777777" w:rsidR="008D4CA8" w:rsidRDefault="008D4CA8" w:rsidP="008D4CA8">
      <w:pPr>
        <w:rPr>
          <w:sz w:val="24"/>
        </w:rPr>
      </w:pPr>
    </w:p>
    <w:p w14:paraId="600B2D8B" w14:textId="5EA8BD57" w:rsidR="008D4CA8" w:rsidRDefault="00E44470" w:rsidP="008D4CA8">
      <w:pPr>
        <w:rPr>
          <w:sz w:val="24"/>
        </w:rPr>
      </w:pPr>
      <w:r>
        <w:rPr>
          <w:sz w:val="24"/>
        </w:rPr>
        <w:t xml:space="preserve">Emília Mansur de Souza Figueiredo </w:t>
      </w:r>
      <w:r w:rsidR="008D4CA8">
        <w:rPr>
          <w:sz w:val="24"/>
        </w:rPr>
        <w:t xml:space="preserve"> – Matrícula 00</w:t>
      </w:r>
      <w:r>
        <w:rPr>
          <w:sz w:val="24"/>
        </w:rPr>
        <w:t>66</w:t>
      </w:r>
    </w:p>
    <w:p w14:paraId="16BA9D79" w14:textId="1037E627" w:rsidR="003D7454" w:rsidRDefault="003D7454" w:rsidP="008D4CA8">
      <w:pPr>
        <w:rPr>
          <w:sz w:val="24"/>
        </w:rPr>
      </w:pPr>
    </w:p>
    <w:p w14:paraId="209F0097" w14:textId="0A748C60" w:rsidR="008D4CA8" w:rsidRPr="00E44470" w:rsidRDefault="003D7454" w:rsidP="00E44470">
      <w:pPr>
        <w:spacing w:after="160" w:line="259" w:lineRule="auto"/>
        <w:ind w:left="0" w:firstLine="0"/>
        <w:jc w:val="left"/>
        <w:rPr>
          <w:sz w:val="24"/>
        </w:rPr>
      </w:pPr>
      <w:r>
        <w:rPr>
          <w:sz w:val="24"/>
        </w:rPr>
        <w:br w:type="page"/>
      </w: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30E81006"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r w:rsidR="006427D9">
        <w:t>fornecimento de aparelhos de telefonia móvel.</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77777777" w:rsidR="002611DB" w:rsidRPr="007D0FBD" w:rsidRDefault="002611DB" w:rsidP="00213755">
            <w:pPr>
              <w:spacing w:line="360" w:lineRule="auto"/>
              <w:jc w:val="center"/>
              <w:rPr>
                <w:sz w:val="18"/>
                <w:szCs w:val="18"/>
              </w:rPr>
            </w:pPr>
            <w:r w:rsidRPr="007D0FBD">
              <w:rPr>
                <w:sz w:val="18"/>
                <w:szCs w:val="18"/>
              </w:rPr>
              <w:t>1</w:t>
            </w: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6A4D6443"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60C41B2"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303E56E9" w:rsidR="002611DB" w:rsidRPr="007D0FBD" w:rsidRDefault="002C6427" w:rsidP="00213755">
            <w:pPr>
              <w:spacing w:line="360" w:lineRule="auto"/>
              <w:ind w:left="280"/>
              <w:jc w:val="center"/>
              <w:rPr>
                <w:sz w:val="18"/>
                <w:szCs w:val="18"/>
              </w:rPr>
            </w:pPr>
            <w:r>
              <w:rPr>
                <w:sz w:val="18"/>
                <w:szCs w:val="18"/>
              </w:rPr>
              <w:t>150</w:t>
            </w: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77777777" w:rsidR="002C6427" w:rsidRDefault="002C6427"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239F40D8" w14:textId="77777777" w:rsidR="006427D9" w:rsidRDefault="006427D9" w:rsidP="00310816">
      <w:pPr>
        <w:spacing w:after="0"/>
        <w:jc w:val="center"/>
        <w:rPr>
          <w:b/>
          <w:color w:val="auto"/>
          <w:sz w:val="23"/>
          <w:szCs w:val="23"/>
        </w:rPr>
      </w:pPr>
    </w:p>
    <w:p w14:paraId="77F784B5" w14:textId="77777777" w:rsidR="006427D9" w:rsidRDefault="006427D9" w:rsidP="00310816">
      <w:pPr>
        <w:spacing w:after="0"/>
        <w:jc w:val="center"/>
        <w:rPr>
          <w:b/>
          <w:color w:val="auto"/>
          <w:sz w:val="23"/>
          <w:szCs w:val="23"/>
        </w:rPr>
      </w:pPr>
    </w:p>
    <w:p w14:paraId="741A0AA9" w14:textId="2F876341" w:rsidR="00310816" w:rsidRPr="00D7698A" w:rsidRDefault="00310816" w:rsidP="00310816">
      <w:pPr>
        <w:spacing w:after="0"/>
        <w:jc w:val="center"/>
        <w:rPr>
          <w:color w:val="auto"/>
          <w:sz w:val="23"/>
          <w:szCs w:val="23"/>
        </w:rPr>
      </w:pPr>
      <w:bookmarkStart w:id="0" w:name="_GoBack"/>
      <w:bookmarkEnd w:id="0"/>
      <w:r w:rsidRPr="00D7698A">
        <w:rPr>
          <w:b/>
          <w:color w:val="auto"/>
          <w:sz w:val="23"/>
          <w:szCs w:val="23"/>
        </w:rPr>
        <w:lastRenderedPageBreak/>
        <w:t>CONTRATO ADMINISTRATIVO N° XX/2024</w:t>
      </w:r>
    </w:p>
    <w:p w14:paraId="2617DC0C" w14:textId="77777777" w:rsidR="00310816" w:rsidRPr="00D7698A" w:rsidRDefault="00310816" w:rsidP="00310816">
      <w:pPr>
        <w:spacing w:after="77"/>
        <w:ind w:right="3"/>
        <w:jc w:val="center"/>
        <w:rPr>
          <w:color w:val="auto"/>
          <w:sz w:val="23"/>
          <w:szCs w:val="23"/>
        </w:rPr>
      </w:pPr>
      <w:r w:rsidRPr="00D7698A">
        <w:rPr>
          <w:b/>
          <w:color w:val="auto"/>
          <w:sz w:val="23"/>
          <w:szCs w:val="23"/>
        </w:rPr>
        <w:t xml:space="preserve">        (Ref. PROCESSO DE COMPRAS N° XX/2024)</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D7698A">
        <w:rPr>
          <w:iCs/>
          <w:color w:val="auto"/>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1"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1"/>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D7698A" w:rsidRDefault="00310816" w:rsidP="00310816">
      <w:pPr>
        <w:numPr>
          <w:ilvl w:val="1"/>
          <w:numId w:val="27"/>
        </w:numPr>
        <w:spacing w:before="120" w:after="120" w:line="276" w:lineRule="auto"/>
        <w:rPr>
          <w:bCs/>
          <w:iCs/>
          <w:color w:val="auto"/>
          <w:sz w:val="23"/>
          <w:szCs w:val="23"/>
        </w:rPr>
      </w:pPr>
      <w:r w:rsidRPr="00D7698A">
        <w:rPr>
          <w:color w:val="auto"/>
          <w:sz w:val="23"/>
          <w:szCs w:val="23"/>
        </w:rPr>
        <w:t>As despesas decorrentes da execução do presente contrato correrão por conta de dotação orçamentária própria, constante no orçamento vigente, de acordo com a classificação 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77777777"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2024.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31"/>
      <w:headerReference w:type="default" r:id="rId32"/>
      <w:footerReference w:type="default" r:id="rId33"/>
      <w:headerReference w:type="first" r:id="rId34"/>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5D16D" w14:textId="77777777" w:rsidR="00DF3C7A" w:rsidRDefault="00DF3C7A">
      <w:pPr>
        <w:spacing w:after="0" w:line="240" w:lineRule="auto"/>
      </w:pPr>
      <w:r>
        <w:separator/>
      </w:r>
    </w:p>
  </w:endnote>
  <w:endnote w:type="continuationSeparator" w:id="0">
    <w:p w14:paraId="12BB1615" w14:textId="77777777" w:rsidR="00DF3C7A" w:rsidRDefault="00DF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26524D" w:rsidRPr="006026EB" w:rsidRDefault="0026524D"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26524D" w:rsidRPr="006026EB" w:rsidRDefault="0026524D" w:rsidP="006026EB">
    <w:pPr>
      <w:pStyle w:val="Rodap"/>
      <w:jc w:val="center"/>
      <w:rPr>
        <w:b/>
        <w:bCs/>
        <w:sz w:val="20"/>
        <w:szCs w:val="20"/>
      </w:rPr>
    </w:pPr>
    <w:r w:rsidRPr="006026EB">
      <w:rPr>
        <w:b/>
        <w:bCs/>
        <w:sz w:val="20"/>
        <w:szCs w:val="20"/>
      </w:rPr>
      <w:t>Telefone: (32) 99863-4627 -  E-mail: licitacao@limaduarte.mg.leg.br</w:t>
    </w:r>
  </w:p>
  <w:p w14:paraId="3F26FA12" w14:textId="77777777" w:rsidR="0026524D" w:rsidRPr="006026EB" w:rsidRDefault="0026524D" w:rsidP="006026EB">
    <w:pPr>
      <w:pStyle w:val="Rodap"/>
      <w:jc w:val="center"/>
      <w:rPr>
        <w:b/>
        <w:bCs/>
        <w:sz w:val="20"/>
        <w:szCs w:val="20"/>
      </w:rPr>
    </w:pPr>
    <w:r w:rsidRPr="006026EB">
      <w:rPr>
        <w:b/>
        <w:bCs/>
        <w:sz w:val="20"/>
        <w:szCs w:val="20"/>
      </w:rPr>
      <w:t>Página na Internet: http:// http://www.limaduarte.mg.leg.br</w:t>
    </w:r>
  </w:p>
  <w:p w14:paraId="55546C50" w14:textId="77777777" w:rsidR="0026524D" w:rsidRPr="00C258B9" w:rsidRDefault="0026524D" w:rsidP="006026EB">
    <w:pPr>
      <w:pStyle w:val="Rodap"/>
    </w:pPr>
  </w:p>
  <w:p w14:paraId="6FBB142C" w14:textId="77777777" w:rsidR="0026524D" w:rsidRDefault="002652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98D8A" w14:textId="77777777" w:rsidR="00DF3C7A" w:rsidRDefault="00DF3C7A">
      <w:pPr>
        <w:spacing w:after="0" w:line="259" w:lineRule="auto"/>
        <w:ind w:left="0" w:firstLine="0"/>
        <w:jc w:val="left"/>
      </w:pPr>
      <w:r>
        <w:separator/>
      </w:r>
    </w:p>
  </w:footnote>
  <w:footnote w:type="continuationSeparator" w:id="0">
    <w:p w14:paraId="74BB30DE" w14:textId="77777777" w:rsidR="00DF3C7A" w:rsidRDefault="00DF3C7A">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26524D" w:rsidRDefault="0026524D">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26524D" w:rsidRDefault="0026524D">
    <w:pPr>
      <w:spacing w:after="0" w:line="259" w:lineRule="auto"/>
      <w:ind w:left="0" w:firstLine="0"/>
      <w:jc w:val="left"/>
    </w:pPr>
    <w:r>
      <w:t xml:space="preserve"> </w:t>
    </w:r>
  </w:p>
  <w:p w14:paraId="13D9879F" w14:textId="77777777" w:rsidR="0026524D" w:rsidRDefault="0026524D">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26524D" w:rsidRDefault="0026524D"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26524D" w:rsidRDefault="0026524D"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26524D" w:rsidRDefault="0026524D">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26524D" w:rsidRDefault="0026524D">
    <w:pPr>
      <w:spacing w:after="0" w:line="259" w:lineRule="auto"/>
      <w:ind w:left="0" w:firstLine="0"/>
      <w:jc w:val="left"/>
    </w:pPr>
    <w:r>
      <w:t xml:space="preserve"> </w:t>
    </w:r>
  </w:p>
  <w:p w14:paraId="12B47288" w14:textId="77777777" w:rsidR="0026524D" w:rsidRDefault="0026524D">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4337"/>
    <w:multiLevelType w:val="multilevel"/>
    <w:tmpl w:val="C55A85F0"/>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C6EBF"/>
    <w:multiLevelType w:val="hybridMultilevel"/>
    <w:tmpl w:val="BC8864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8D3C9D"/>
    <w:multiLevelType w:val="hybridMultilevel"/>
    <w:tmpl w:val="D5664162"/>
    <w:lvl w:ilvl="0" w:tplc="8F682592">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4105678"/>
    <w:multiLevelType w:val="multilevel"/>
    <w:tmpl w:val="E0D033A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78917C1"/>
    <w:multiLevelType w:val="multilevel"/>
    <w:tmpl w:val="E0D033A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9"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0"/>
  </w:num>
  <w:num w:numId="4">
    <w:abstractNumId w:val="22"/>
  </w:num>
  <w:num w:numId="5">
    <w:abstractNumId w:val="7"/>
  </w:num>
  <w:num w:numId="6">
    <w:abstractNumId w:val="8"/>
  </w:num>
  <w:num w:numId="7">
    <w:abstractNumId w:val="21"/>
  </w:num>
  <w:num w:numId="8">
    <w:abstractNumId w:val="25"/>
  </w:num>
  <w:num w:numId="9">
    <w:abstractNumId w:val="19"/>
  </w:num>
  <w:num w:numId="10">
    <w:abstractNumId w:val="2"/>
  </w:num>
  <w:num w:numId="11">
    <w:abstractNumId w:val="11"/>
  </w:num>
  <w:num w:numId="12">
    <w:abstractNumId w:val="15"/>
  </w:num>
  <w:num w:numId="13">
    <w:abstractNumId w:val="29"/>
  </w:num>
  <w:num w:numId="14">
    <w:abstractNumId w:val="1"/>
  </w:num>
  <w:num w:numId="15">
    <w:abstractNumId w:val="3"/>
  </w:num>
  <w:num w:numId="16">
    <w:abstractNumId w:val="6"/>
  </w:num>
  <w:num w:numId="17">
    <w:abstractNumId w:val="14"/>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4"/>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num>
  <w:num w:numId="30">
    <w:abstractNumId w:val="12"/>
  </w:num>
  <w:num w:numId="31">
    <w:abstractNumId w:val="27"/>
  </w:num>
  <w:num w:numId="32">
    <w:abstractNumId w:val="26"/>
  </w:num>
  <w:num w:numId="33">
    <w:abstractNumId w:val="0"/>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647B5"/>
    <w:rsid w:val="0015160D"/>
    <w:rsid w:val="00151756"/>
    <w:rsid w:val="001568F3"/>
    <w:rsid w:val="001B1AEE"/>
    <w:rsid w:val="001B1B70"/>
    <w:rsid w:val="00213755"/>
    <w:rsid w:val="002611DB"/>
    <w:rsid w:val="0026524D"/>
    <w:rsid w:val="0028101A"/>
    <w:rsid w:val="002C6427"/>
    <w:rsid w:val="002D1739"/>
    <w:rsid w:val="002F0F6E"/>
    <w:rsid w:val="002F5FDE"/>
    <w:rsid w:val="00301DA2"/>
    <w:rsid w:val="00310816"/>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427D9"/>
    <w:rsid w:val="00682D3D"/>
    <w:rsid w:val="00693762"/>
    <w:rsid w:val="006B2CDD"/>
    <w:rsid w:val="006C4AD1"/>
    <w:rsid w:val="006E3276"/>
    <w:rsid w:val="006F0B72"/>
    <w:rsid w:val="00720DFC"/>
    <w:rsid w:val="00731594"/>
    <w:rsid w:val="007707BB"/>
    <w:rsid w:val="00772BDE"/>
    <w:rsid w:val="007D0FBD"/>
    <w:rsid w:val="00850A26"/>
    <w:rsid w:val="00883266"/>
    <w:rsid w:val="008C2BD5"/>
    <w:rsid w:val="008D4CA8"/>
    <w:rsid w:val="008D54D2"/>
    <w:rsid w:val="008E2A7B"/>
    <w:rsid w:val="009646B5"/>
    <w:rsid w:val="00990585"/>
    <w:rsid w:val="009B7D4B"/>
    <w:rsid w:val="009B7FD9"/>
    <w:rsid w:val="009D13B9"/>
    <w:rsid w:val="009D17B9"/>
    <w:rsid w:val="009E72E8"/>
    <w:rsid w:val="009E7727"/>
    <w:rsid w:val="00A10290"/>
    <w:rsid w:val="00A14E9F"/>
    <w:rsid w:val="00A37D8A"/>
    <w:rsid w:val="00A841B9"/>
    <w:rsid w:val="00AB36EF"/>
    <w:rsid w:val="00AB7686"/>
    <w:rsid w:val="00AC4C06"/>
    <w:rsid w:val="00B10DBC"/>
    <w:rsid w:val="00B53724"/>
    <w:rsid w:val="00B650EF"/>
    <w:rsid w:val="00BA1F0A"/>
    <w:rsid w:val="00BC657C"/>
    <w:rsid w:val="00BD6499"/>
    <w:rsid w:val="00BE68B3"/>
    <w:rsid w:val="00BF3638"/>
    <w:rsid w:val="00C15FC4"/>
    <w:rsid w:val="00C34B45"/>
    <w:rsid w:val="00C75BC4"/>
    <w:rsid w:val="00CC53CD"/>
    <w:rsid w:val="00CD111D"/>
    <w:rsid w:val="00CD424F"/>
    <w:rsid w:val="00CF5392"/>
    <w:rsid w:val="00D41C18"/>
    <w:rsid w:val="00D442E9"/>
    <w:rsid w:val="00DA67AD"/>
    <w:rsid w:val="00DD54E7"/>
    <w:rsid w:val="00DF3232"/>
    <w:rsid w:val="00DF3C7A"/>
    <w:rsid w:val="00E005A0"/>
    <w:rsid w:val="00E1028A"/>
    <w:rsid w:val="00E33B57"/>
    <w:rsid w:val="00E40B3F"/>
    <w:rsid w:val="00E44470"/>
    <w:rsid w:val="00EC456B"/>
    <w:rsid w:val="00ED4932"/>
    <w:rsid w:val="00EE0926"/>
    <w:rsid w:val="00EE1015"/>
    <w:rsid w:val="00EF39EC"/>
    <w:rsid w:val="00F03D20"/>
    <w:rsid w:val="00F32ECB"/>
    <w:rsid w:val="00F57FCE"/>
    <w:rsid w:val="00F6208F"/>
    <w:rsid w:val="00F67162"/>
    <w:rsid w:val="00F70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 Type="http://schemas.openxmlformats.org/officeDocument/2006/relationships/styles" Target="styles.xml"/><Relationship Id="rId21" Type="http://schemas.openxmlformats.org/officeDocument/2006/relationships/hyperlink" Target="https://www.gov.br/empresas-e-negocios/pt-br/empreendedo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theme" Target="theme/theme1.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fontTable" Target="fontTable.xml"/><Relationship Id="rId8"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1919-1542-42A0-8BB5-2F93492C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8920</Words>
  <Characters>48172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13</cp:revision>
  <cp:lastPrinted>2024-11-06T20:59:00Z</cp:lastPrinted>
  <dcterms:created xsi:type="dcterms:W3CDTF">2024-11-06T20:33:00Z</dcterms:created>
  <dcterms:modified xsi:type="dcterms:W3CDTF">2024-11-06T21:00:00Z</dcterms:modified>
</cp:coreProperties>
</file>