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9E5884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5</w:t>
      </w:r>
      <w:r w:rsidR="008E34CF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9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bookmarkStart w:id="0" w:name="_GoBack"/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8E34C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145.000,00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na forma que menciona.</w:t>
      </w:r>
      <w:bookmarkEnd w:id="0"/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8E34CF">
        <w:rPr>
          <w:rFonts w:ascii="Book Antiqua" w:eastAsia="Times New Roman" w:hAnsi="Book Antiqua" w:cs="Times New Roman"/>
          <w:sz w:val="16"/>
          <w:szCs w:val="16"/>
          <w:lang w:eastAsia="pt-BR"/>
        </w:rPr>
        <w:t>145.000,00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8E34CF">
        <w:rPr>
          <w:rFonts w:ascii="Book Antiqua" w:eastAsia="Times New Roman" w:hAnsi="Book Antiqua" w:cs="Times New Roman"/>
          <w:sz w:val="16"/>
          <w:szCs w:val="16"/>
          <w:lang w:eastAsia="pt-BR"/>
        </w:rPr>
        <w:t>Cento e quarenta e cinco mil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 dotações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8E34CF" w:rsidTr="00FA1149">
        <w:trPr>
          <w:trHeight w:val="990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8E34CF" w:rsidRDefault="008E34CF" w:rsidP="00FA1149">
            <w:pPr>
              <w:pStyle w:val="TableParagraph"/>
              <w:spacing w:before="0" w:line="338" w:lineRule="auto"/>
              <w:ind w:right="4626"/>
              <w:rPr>
                <w:sz w:val="14"/>
              </w:rPr>
            </w:pPr>
            <w:r>
              <w:rPr>
                <w:sz w:val="14"/>
              </w:rPr>
              <w:t>Orgão 03 - DEPARTAMENTO MUNICIPAL DE AGUA E ESGOTO DEMAE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E </w:t>
            </w:r>
            <w:proofErr w:type="gramStart"/>
            <w:r>
              <w:rPr>
                <w:sz w:val="14"/>
              </w:rPr>
              <w:t>ESGOTO</w:t>
            </w:r>
            <w:proofErr w:type="gramEnd"/>
          </w:p>
          <w:p w:rsidR="008E34CF" w:rsidRDefault="008E34CF" w:rsidP="00FA1149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ESGOTO</w:t>
            </w:r>
            <w:proofErr w:type="gramEnd"/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3.01.00.04.122.0021.2.0131-170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DEMAE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3.01.00.17.512.0022.2.0133-170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ESGOTO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3.01.00.17.512.0022.2.0133-170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ESGOTO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93.000,00</w:t>
            </w: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3.01.00.04.122.0021.2.0131-170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3.3.90.47.00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DEMAE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3.01.00.17.512.0022.1.0061-170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MÁQ.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EQUIP.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SIST.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ÁGUA/ESGOTO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ETA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R$</w:t>
            </w:r>
            <w:proofErr w:type="gramEnd"/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 w:rsidR="008E34CF" w:rsidTr="00FA1149">
        <w:trPr>
          <w:trHeight w:val="226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 w:rsidR="008E34CF" w:rsidTr="00FA1149">
        <w:trPr>
          <w:trHeight w:val="340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03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 w:rsidR="008E34CF" w:rsidTr="00FA1149">
        <w:trPr>
          <w:trHeight w:val="304"/>
        </w:trPr>
        <w:tc>
          <w:tcPr>
            <w:tcW w:w="9333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8E34CF" w:rsidRDefault="008E34CF" w:rsidP="00FA1149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145.000,00</w:t>
            </w:r>
          </w:p>
        </w:tc>
      </w:tr>
    </w:tbl>
    <w:p w:rsidR="00596E07" w:rsidRDefault="00596E07" w:rsidP="00596E07">
      <w:pPr>
        <w:pStyle w:val="Corpodetexto"/>
        <w:rPr>
          <w:b/>
          <w:sz w:val="16"/>
        </w:rPr>
      </w:pPr>
    </w:p>
    <w:p w:rsidR="008F6B98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EB4F77" w:rsidRPr="00EB4F7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EB4F77" w:rsidRPr="00EB4F7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EB4F77" w:rsidRPr="00EB4F7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 a IV do artigo 43 da Lei Federal 4.320.</w:t>
      </w:r>
    </w:p>
    <w:p w:rsidR="00EB4F77" w:rsidRDefault="00EB4F77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tbl>
      <w:tblPr>
        <w:tblStyle w:val="TableNormal"/>
        <w:tblW w:w="0" w:type="auto"/>
        <w:tblInd w:w="136" w:type="dxa"/>
        <w:tblLayout w:type="fixed"/>
        <w:tblLook w:val="04A0" w:firstRow="1" w:lastRow="0" w:firstColumn="1" w:lastColumn="0" w:noHBand="0" w:noVBand="1"/>
      </w:tblPr>
      <w:tblGrid>
        <w:gridCol w:w="9372"/>
        <w:gridCol w:w="1242"/>
      </w:tblGrid>
      <w:tr w:rsidR="008E34CF" w:rsidTr="008E34CF">
        <w:trPr>
          <w:trHeight w:val="645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spacing w:before="0" w:line="338" w:lineRule="auto"/>
              <w:ind w:right="4626"/>
              <w:rPr>
                <w:sz w:val="14"/>
              </w:rPr>
            </w:pPr>
            <w:r>
              <w:rPr>
                <w:sz w:val="14"/>
              </w:rPr>
              <w:t>Orgão 03 - DEPARTAMENTO MUNICIPAL DE AGUA E ESGOTO DEMAE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E </w:t>
            </w:r>
            <w:proofErr w:type="gramStart"/>
            <w:r>
              <w:rPr>
                <w:sz w:val="14"/>
              </w:rPr>
              <w:t>ESGOTO</w:t>
            </w:r>
            <w:proofErr w:type="gramEnd"/>
          </w:p>
          <w:p w:rsidR="008E34CF" w:rsidRDefault="008E34CF" w:rsidP="00FA1149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ESGOTO</w:t>
            </w:r>
            <w:proofErr w:type="gramEnd"/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E34CF" w:rsidTr="008E34CF">
        <w:trPr>
          <w:trHeight w:val="226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3.01.00.17.512.0022.2.0133-170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ESGOTO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 w:rsidR="008E34CF" w:rsidTr="008E34CF">
        <w:trPr>
          <w:trHeight w:val="226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3.01.00.17.512.0022.2.0133-170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ÁGUA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ESGOTO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 w:rsidR="008E34CF" w:rsidTr="008E34CF">
        <w:trPr>
          <w:trHeight w:val="226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 w:rsidR="008E34CF" w:rsidTr="008E34CF">
        <w:trPr>
          <w:trHeight w:val="226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 w:rsidR="008E34CF" w:rsidTr="008E34CF">
        <w:trPr>
          <w:trHeight w:val="340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03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 w:rsidR="008E34CF" w:rsidTr="008E34CF">
        <w:trPr>
          <w:trHeight w:val="304"/>
        </w:trPr>
        <w:tc>
          <w:tcPr>
            <w:tcW w:w="9372" w:type="dxa"/>
          </w:tcPr>
          <w:p w:rsidR="008E34CF" w:rsidRDefault="008E34CF" w:rsidP="00FA1149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Anulado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42" w:type="dxa"/>
          </w:tcPr>
          <w:p w:rsidR="008E34CF" w:rsidRDefault="008E34CF" w:rsidP="00FA1149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145.000,00</w:t>
            </w:r>
          </w:p>
        </w:tc>
      </w:tr>
      <w:tr w:rsidR="00EB4F77" w:rsidTr="008E34CF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372" w:type="dxa"/>
          </w:tcPr>
          <w:p w:rsidR="00EB4F77" w:rsidRDefault="00EB4F77" w:rsidP="006B49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</w:p>
        </w:tc>
        <w:tc>
          <w:tcPr>
            <w:tcW w:w="1242" w:type="dxa"/>
          </w:tcPr>
          <w:p w:rsidR="00EB4F77" w:rsidRDefault="00EB4F77" w:rsidP="006B4960">
            <w:pPr>
              <w:pStyle w:val="TableParagraph"/>
              <w:ind w:left="0" w:right="32"/>
              <w:jc w:val="right"/>
              <w:rPr>
                <w:sz w:val="14"/>
              </w:rPr>
            </w:pPr>
          </w:p>
        </w:tc>
      </w:tr>
    </w:tbl>
    <w:p w:rsidR="007634F9" w:rsidRDefault="007634F9" w:rsidP="00EB4F77">
      <w:pPr>
        <w:pStyle w:val="Ttulo1"/>
        <w:tabs>
          <w:tab w:val="left" w:pos="2016"/>
          <w:tab w:val="left" w:pos="10085"/>
        </w:tabs>
        <w:spacing w:before="109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9A6E91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16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9A6E91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novembro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C0" w:rsidRDefault="008003C0" w:rsidP="00170DB4">
      <w:pPr>
        <w:spacing w:after="0" w:line="240" w:lineRule="auto"/>
      </w:pPr>
      <w:r>
        <w:separator/>
      </w:r>
    </w:p>
  </w:endnote>
  <w:endnote w:type="continuationSeparator" w:id="0">
    <w:p w:rsidR="008003C0" w:rsidRDefault="008003C0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C0" w:rsidRDefault="008003C0" w:rsidP="00170DB4">
      <w:pPr>
        <w:spacing w:after="0" w:line="240" w:lineRule="auto"/>
      </w:pPr>
      <w:r>
        <w:separator/>
      </w:r>
    </w:p>
  </w:footnote>
  <w:footnote w:type="continuationSeparator" w:id="0">
    <w:p w:rsidR="008003C0" w:rsidRDefault="008003C0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1A0385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D4BF0"/>
    <w:rsid w:val="002E49C1"/>
    <w:rsid w:val="002E7490"/>
    <w:rsid w:val="00327855"/>
    <w:rsid w:val="00354698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451F2"/>
    <w:rsid w:val="00696E26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D65DF"/>
    <w:rsid w:val="007D6C80"/>
    <w:rsid w:val="007E52F3"/>
    <w:rsid w:val="007F0079"/>
    <w:rsid w:val="008003C0"/>
    <w:rsid w:val="00817213"/>
    <w:rsid w:val="0084066C"/>
    <w:rsid w:val="00851A20"/>
    <w:rsid w:val="00874B00"/>
    <w:rsid w:val="008C01EA"/>
    <w:rsid w:val="008E017F"/>
    <w:rsid w:val="008E34C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3BC2"/>
    <w:rsid w:val="00997475"/>
    <w:rsid w:val="009A040D"/>
    <w:rsid w:val="009A4511"/>
    <w:rsid w:val="009A6E91"/>
    <w:rsid w:val="009C1A79"/>
    <w:rsid w:val="009C50DE"/>
    <w:rsid w:val="009E5884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8671E"/>
    <w:rsid w:val="00CA024B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F229D"/>
    <w:rsid w:val="00E52999"/>
    <w:rsid w:val="00E57887"/>
    <w:rsid w:val="00E61604"/>
    <w:rsid w:val="00E75FA4"/>
    <w:rsid w:val="00E826EE"/>
    <w:rsid w:val="00EB4F77"/>
    <w:rsid w:val="00EF3275"/>
    <w:rsid w:val="00F15A41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3</cp:revision>
  <cp:lastPrinted>2022-11-16T19:44:00Z</cp:lastPrinted>
  <dcterms:created xsi:type="dcterms:W3CDTF">2022-11-16T19:43:00Z</dcterms:created>
  <dcterms:modified xsi:type="dcterms:W3CDTF">2022-11-16T19:53:00Z</dcterms:modified>
</cp:coreProperties>
</file>