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5117A" w14:textId="77777777" w:rsidR="00661F6D" w:rsidRDefault="00661F6D" w:rsidP="00D55D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3F9DB4B" w14:textId="2FEFD7BD" w:rsidR="00D55D21" w:rsidRPr="00D55D21" w:rsidRDefault="00B21D83" w:rsidP="00D55D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 33</w:t>
      </w:r>
      <w:r w:rsidR="00D55D21" w:rsidRPr="00D55D2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335EAA48" w14:textId="77777777" w:rsidR="00D55D21" w:rsidRPr="00D55D21" w:rsidRDefault="00D55D21" w:rsidP="00D55D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B7646C" w14:textId="381FDBC7" w:rsidR="00D55D21" w:rsidRPr="00D55D21" w:rsidRDefault="00D55D21" w:rsidP="00D55D21">
      <w:pPr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D21">
        <w:rPr>
          <w:rFonts w:ascii="Times New Roman" w:hAnsi="Times New Roman" w:cs="Times New Roman"/>
          <w:b/>
          <w:bCs/>
          <w:sz w:val="24"/>
          <w:szCs w:val="24"/>
        </w:rPr>
        <w:t xml:space="preserve">Dispõe sobre o Plano Plurianual do Município de </w:t>
      </w:r>
      <w:r w:rsidR="00B21D83">
        <w:rPr>
          <w:rFonts w:ascii="Times New Roman" w:hAnsi="Times New Roman" w:cs="Times New Roman"/>
          <w:b/>
          <w:bCs/>
          <w:sz w:val="24"/>
          <w:szCs w:val="24"/>
        </w:rPr>
        <w:t>Lima Duarte</w:t>
      </w:r>
      <w:r w:rsidRPr="00D55D21">
        <w:rPr>
          <w:rFonts w:ascii="Times New Roman" w:hAnsi="Times New Roman" w:cs="Times New Roman"/>
          <w:b/>
          <w:bCs/>
          <w:sz w:val="24"/>
          <w:szCs w:val="24"/>
        </w:rPr>
        <w:t xml:space="preserve"> para o período de 2026 a 2029.</w:t>
      </w:r>
    </w:p>
    <w:p w14:paraId="03945C07" w14:textId="77777777" w:rsidR="00D55D21" w:rsidRPr="00D55D21" w:rsidRDefault="00D55D21" w:rsidP="00D55D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9B3562" w14:textId="496D7D4A" w:rsidR="00D55D21" w:rsidRPr="00D55D21" w:rsidRDefault="00D55D21" w:rsidP="00D55D21">
      <w:pPr>
        <w:jc w:val="both"/>
        <w:rPr>
          <w:rFonts w:ascii="Times New Roman" w:hAnsi="Times New Roman" w:cs="Times New Roman"/>
          <w:sz w:val="24"/>
          <w:szCs w:val="24"/>
        </w:rPr>
      </w:pPr>
      <w:r w:rsidRPr="00D55D21">
        <w:rPr>
          <w:rFonts w:ascii="Times New Roman" w:hAnsi="Times New Roman" w:cs="Times New Roman"/>
          <w:sz w:val="24"/>
          <w:szCs w:val="24"/>
        </w:rPr>
        <w:t xml:space="preserve">A Câmara Municipal de </w:t>
      </w:r>
      <w:r w:rsidR="00B21D83">
        <w:rPr>
          <w:rFonts w:ascii="Times New Roman" w:hAnsi="Times New Roman" w:cs="Times New Roman"/>
          <w:sz w:val="24"/>
          <w:szCs w:val="24"/>
        </w:rPr>
        <w:t xml:space="preserve">Lima Duarte </w:t>
      </w:r>
      <w:r w:rsidRPr="00D55D21">
        <w:rPr>
          <w:rFonts w:ascii="Times New Roman" w:hAnsi="Times New Roman" w:cs="Times New Roman"/>
          <w:sz w:val="24"/>
          <w:szCs w:val="24"/>
        </w:rPr>
        <w:t>aprova:</w:t>
      </w:r>
    </w:p>
    <w:p w14:paraId="405013A5" w14:textId="4A400B91" w:rsidR="00C800F5" w:rsidRDefault="00D55D21" w:rsidP="00D55D21">
      <w:pPr>
        <w:jc w:val="both"/>
        <w:rPr>
          <w:rFonts w:ascii="Times New Roman" w:hAnsi="Times New Roman" w:cs="Times New Roman"/>
          <w:sz w:val="24"/>
          <w:szCs w:val="24"/>
        </w:rPr>
      </w:pPr>
      <w:r w:rsidRPr="00D55D21">
        <w:rPr>
          <w:rFonts w:ascii="Times New Roman" w:hAnsi="Times New Roman" w:cs="Times New Roman"/>
          <w:sz w:val="24"/>
          <w:szCs w:val="24"/>
        </w:rPr>
        <w:t xml:space="preserve">Art. 1º </w:t>
      </w:r>
      <w:r w:rsidR="00E07B84">
        <w:rPr>
          <w:rFonts w:ascii="Times New Roman" w:hAnsi="Times New Roman" w:cs="Times New Roman"/>
          <w:sz w:val="24"/>
          <w:szCs w:val="24"/>
        </w:rPr>
        <w:t xml:space="preserve">Institui o </w:t>
      </w:r>
      <w:r w:rsidRPr="00D55D21">
        <w:rPr>
          <w:rFonts w:ascii="Times New Roman" w:hAnsi="Times New Roman" w:cs="Times New Roman"/>
          <w:sz w:val="24"/>
          <w:szCs w:val="24"/>
        </w:rPr>
        <w:t xml:space="preserve">Plano Plurianual do Município </w:t>
      </w:r>
      <w:r w:rsidR="00B21D83">
        <w:rPr>
          <w:rFonts w:ascii="Times New Roman" w:hAnsi="Times New Roman" w:cs="Times New Roman"/>
          <w:sz w:val="24"/>
          <w:szCs w:val="24"/>
        </w:rPr>
        <w:t xml:space="preserve">de Lima Duarte </w:t>
      </w:r>
      <w:r w:rsidRPr="00D55D21">
        <w:rPr>
          <w:rFonts w:ascii="Times New Roman" w:hAnsi="Times New Roman" w:cs="Times New Roman"/>
          <w:sz w:val="24"/>
          <w:szCs w:val="24"/>
        </w:rPr>
        <w:t xml:space="preserve">para o </w:t>
      </w:r>
      <w:r w:rsidR="006077CE">
        <w:rPr>
          <w:rFonts w:ascii="Times New Roman" w:hAnsi="Times New Roman" w:cs="Times New Roman"/>
          <w:sz w:val="24"/>
          <w:szCs w:val="24"/>
        </w:rPr>
        <w:t xml:space="preserve">período de </w:t>
      </w:r>
      <w:r w:rsidRPr="00D55D21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D55D21">
        <w:rPr>
          <w:rFonts w:ascii="Times New Roman" w:hAnsi="Times New Roman" w:cs="Times New Roman"/>
          <w:sz w:val="24"/>
          <w:szCs w:val="24"/>
        </w:rPr>
        <w:t>2029</w:t>
      </w:r>
      <w:r w:rsidR="006077CE">
        <w:rPr>
          <w:rFonts w:ascii="Times New Roman" w:hAnsi="Times New Roman" w:cs="Times New Roman"/>
          <w:sz w:val="24"/>
          <w:szCs w:val="24"/>
        </w:rPr>
        <w:t xml:space="preserve"> (PPA 2026-2029), </w:t>
      </w:r>
      <w:r w:rsidRPr="00D55D21">
        <w:rPr>
          <w:rFonts w:ascii="Times New Roman" w:hAnsi="Times New Roman" w:cs="Times New Roman"/>
          <w:sz w:val="24"/>
          <w:szCs w:val="24"/>
        </w:rPr>
        <w:t xml:space="preserve">em </w:t>
      </w:r>
      <w:r w:rsidR="006077CE">
        <w:rPr>
          <w:rFonts w:ascii="Times New Roman" w:hAnsi="Times New Roman" w:cs="Times New Roman"/>
          <w:sz w:val="24"/>
          <w:szCs w:val="24"/>
        </w:rPr>
        <w:t xml:space="preserve">cumprimento ao disposto no </w:t>
      </w:r>
      <w:r w:rsidRPr="00D55D21">
        <w:rPr>
          <w:rFonts w:ascii="Times New Roman" w:hAnsi="Times New Roman" w:cs="Times New Roman"/>
          <w:sz w:val="24"/>
          <w:szCs w:val="24"/>
        </w:rPr>
        <w:t xml:space="preserve">§ 1º do art. 165 da Constituição Federal, </w:t>
      </w:r>
      <w:r w:rsidR="006077CE">
        <w:rPr>
          <w:rFonts w:ascii="Times New Roman" w:hAnsi="Times New Roman" w:cs="Times New Roman"/>
          <w:sz w:val="24"/>
          <w:szCs w:val="24"/>
        </w:rPr>
        <w:t>n</w:t>
      </w:r>
      <w:r w:rsidRPr="00D55D21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D55D21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D55D21">
        <w:rPr>
          <w:rFonts w:ascii="Times New Roman" w:hAnsi="Times New Roman" w:cs="Times New Roman"/>
          <w:sz w:val="24"/>
          <w:szCs w:val="24"/>
        </w:rPr>
        <w:t xml:space="preserve">. 153 e 154 da Constituição Estadual e </w:t>
      </w:r>
      <w:r w:rsidR="006077CE">
        <w:rPr>
          <w:rFonts w:ascii="Times New Roman" w:hAnsi="Times New Roman" w:cs="Times New Roman"/>
          <w:sz w:val="24"/>
          <w:szCs w:val="24"/>
        </w:rPr>
        <w:t>n</w:t>
      </w:r>
      <w:r w:rsidRPr="00D55D21">
        <w:rPr>
          <w:rFonts w:ascii="Times New Roman" w:hAnsi="Times New Roman" w:cs="Times New Roman"/>
          <w:sz w:val="24"/>
          <w:szCs w:val="24"/>
        </w:rPr>
        <w:t>a Lei Orgânica Municipal</w:t>
      </w:r>
      <w:r w:rsidR="00C800F5">
        <w:rPr>
          <w:rFonts w:ascii="Times New Roman" w:hAnsi="Times New Roman" w:cs="Times New Roman"/>
          <w:sz w:val="24"/>
          <w:szCs w:val="24"/>
        </w:rPr>
        <w:t>.</w:t>
      </w:r>
    </w:p>
    <w:p w14:paraId="33EA25C8" w14:textId="187C8A02" w:rsidR="00E07B84" w:rsidRPr="00E07B84" w:rsidRDefault="00C800F5" w:rsidP="00E07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O PPA 2026-2029 estabelece os </w:t>
      </w:r>
      <w:r w:rsidR="00D55D21" w:rsidRPr="00D55D21">
        <w:rPr>
          <w:rFonts w:ascii="Times New Roman" w:hAnsi="Times New Roman" w:cs="Times New Roman"/>
          <w:sz w:val="24"/>
          <w:szCs w:val="24"/>
        </w:rPr>
        <w:t>programas, ações, objetivos e metas da administração pública municipal,</w:t>
      </w:r>
      <w:r w:rsidR="00E07B84" w:rsidRPr="00E07B84">
        <w:rPr>
          <w:rFonts w:ascii="Times New Roman" w:hAnsi="Times New Roman" w:cs="Times New Roman"/>
          <w:sz w:val="24"/>
          <w:szCs w:val="24"/>
        </w:rPr>
        <w:t xml:space="preserve"> para as despesas de capital e outras delas decorrentes, </w:t>
      </w:r>
      <w:r w:rsidR="008F583B">
        <w:rPr>
          <w:rFonts w:ascii="Times New Roman" w:hAnsi="Times New Roman" w:cs="Times New Roman"/>
          <w:sz w:val="24"/>
          <w:szCs w:val="24"/>
        </w:rPr>
        <w:t xml:space="preserve">bem como aquelas </w:t>
      </w:r>
      <w:r w:rsidR="00E07B84" w:rsidRPr="00E07B84">
        <w:rPr>
          <w:rFonts w:ascii="Times New Roman" w:hAnsi="Times New Roman" w:cs="Times New Roman"/>
          <w:sz w:val="24"/>
          <w:szCs w:val="24"/>
        </w:rPr>
        <w:t xml:space="preserve">relativas aos programas de duração continuada, </w:t>
      </w:r>
      <w:r w:rsidR="008F583B">
        <w:rPr>
          <w:rFonts w:ascii="Times New Roman" w:hAnsi="Times New Roman" w:cs="Times New Roman"/>
          <w:sz w:val="24"/>
          <w:szCs w:val="24"/>
        </w:rPr>
        <w:t xml:space="preserve">conforme </w:t>
      </w:r>
      <w:r w:rsidR="0070584E">
        <w:rPr>
          <w:rFonts w:ascii="Times New Roman" w:hAnsi="Times New Roman" w:cs="Times New Roman"/>
          <w:sz w:val="24"/>
          <w:szCs w:val="24"/>
        </w:rPr>
        <w:t>Qua</w:t>
      </w:r>
      <w:r w:rsidR="00DC130C" w:rsidRPr="00DC130C">
        <w:rPr>
          <w:rFonts w:ascii="Times New Roman" w:hAnsi="Times New Roman" w:cs="Times New Roman"/>
          <w:sz w:val="24"/>
          <w:szCs w:val="24"/>
        </w:rPr>
        <w:t>dro Analítico Resumo do</w:t>
      </w:r>
      <w:r w:rsidR="00CF128B">
        <w:rPr>
          <w:rFonts w:ascii="Times New Roman" w:hAnsi="Times New Roman" w:cs="Times New Roman"/>
          <w:sz w:val="24"/>
          <w:szCs w:val="24"/>
        </w:rPr>
        <w:t>s</w:t>
      </w:r>
      <w:r w:rsidR="00DC130C" w:rsidRPr="00DC130C">
        <w:rPr>
          <w:rFonts w:ascii="Times New Roman" w:hAnsi="Times New Roman" w:cs="Times New Roman"/>
          <w:sz w:val="24"/>
          <w:szCs w:val="24"/>
        </w:rPr>
        <w:t xml:space="preserve"> Programa</w:t>
      </w:r>
      <w:r w:rsidR="00CF128B">
        <w:rPr>
          <w:rFonts w:ascii="Times New Roman" w:hAnsi="Times New Roman" w:cs="Times New Roman"/>
          <w:sz w:val="24"/>
          <w:szCs w:val="24"/>
        </w:rPr>
        <w:t>s</w:t>
      </w:r>
      <w:r w:rsidR="008F583B">
        <w:rPr>
          <w:rFonts w:ascii="Times New Roman" w:hAnsi="Times New Roman" w:cs="Times New Roman"/>
          <w:sz w:val="24"/>
          <w:szCs w:val="24"/>
        </w:rPr>
        <w:t xml:space="preserve"> constante dos anexos desta Lei. </w:t>
      </w:r>
      <w:r w:rsidR="00E0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BB4AB" w14:textId="0BDC9CDD" w:rsidR="00D55D21" w:rsidRPr="00D55D21" w:rsidRDefault="00D55D21" w:rsidP="00D55D21">
      <w:pPr>
        <w:jc w:val="both"/>
        <w:rPr>
          <w:rFonts w:ascii="Times New Roman" w:hAnsi="Times New Roman" w:cs="Times New Roman"/>
          <w:sz w:val="24"/>
          <w:szCs w:val="24"/>
        </w:rPr>
      </w:pPr>
      <w:r w:rsidRPr="00D55D21">
        <w:rPr>
          <w:rFonts w:ascii="Times New Roman" w:hAnsi="Times New Roman" w:cs="Times New Roman"/>
          <w:sz w:val="24"/>
          <w:szCs w:val="24"/>
        </w:rPr>
        <w:t xml:space="preserve">Art. 2º As </w:t>
      </w:r>
      <w:r w:rsidR="00DC130C">
        <w:rPr>
          <w:rFonts w:ascii="Times New Roman" w:hAnsi="Times New Roman" w:cs="Times New Roman"/>
          <w:sz w:val="24"/>
          <w:szCs w:val="24"/>
        </w:rPr>
        <w:t>Metas e Prioridades</w:t>
      </w:r>
      <w:r w:rsidRPr="00D55D21">
        <w:rPr>
          <w:rFonts w:ascii="Times New Roman" w:hAnsi="Times New Roman" w:cs="Times New Roman"/>
          <w:sz w:val="24"/>
          <w:szCs w:val="24"/>
        </w:rPr>
        <w:t xml:space="preserve"> para</w:t>
      </w:r>
      <w:r w:rsidR="00C800F5">
        <w:rPr>
          <w:rFonts w:ascii="Times New Roman" w:hAnsi="Times New Roman" w:cs="Times New Roman"/>
          <w:sz w:val="24"/>
          <w:szCs w:val="24"/>
        </w:rPr>
        <w:t xml:space="preserve"> o exercício de </w:t>
      </w:r>
      <w:r w:rsidRPr="00D55D21">
        <w:rPr>
          <w:rFonts w:ascii="Times New Roman" w:hAnsi="Times New Roman" w:cs="Times New Roman"/>
          <w:sz w:val="24"/>
          <w:szCs w:val="24"/>
        </w:rPr>
        <w:t>2026</w:t>
      </w:r>
      <w:r w:rsidR="00C800F5">
        <w:rPr>
          <w:rFonts w:ascii="Times New Roman" w:hAnsi="Times New Roman" w:cs="Times New Roman"/>
          <w:sz w:val="24"/>
          <w:szCs w:val="24"/>
        </w:rPr>
        <w:t xml:space="preserve"> estão especificadas</w:t>
      </w:r>
      <w:r w:rsidR="008F583B">
        <w:rPr>
          <w:rFonts w:ascii="Times New Roman" w:hAnsi="Times New Roman" w:cs="Times New Roman"/>
          <w:sz w:val="24"/>
          <w:szCs w:val="24"/>
        </w:rPr>
        <w:t xml:space="preserve"> no a</w:t>
      </w:r>
      <w:r w:rsidR="0070584E">
        <w:rPr>
          <w:rFonts w:ascii="Times New Roman" w:hAnsi="Times New Roman" w:cs="Times New Roman"/>
          <w:sz w:val="24"/>
          <w:szCs w:val="24"/>
        </w:rPr>
        <w:t xml:space="preserve">nexo </w:t>
      </w:r>
      <w:r w:rsidR="008F583B">
        <w:rPr>
          <w:rFonts w:ascii="Times New Roman" w:hAnsi="Times New Roman" w:cs="Times New Roman"/>
          <w:sz w:val="24"/>
          <w:szCs w:val="24"/>
        </w:rPr>
        <w:t>próprio</w:t>
      </w:r>
      <w:r w:rsidR="00E07B84">
        <w:rPr>
          <w:rFonts w:ascii="Times New Roman" w:hAnsi="Times New Roman" w:cs="Times New Roman"/>
          <w:sz w:val="24"/>
          <w:szCs w:val="24"/>
        </w:rPr>
        <w:t xml:space="preserve">, </w:t>
      </w:r>
      <w:r w:rsidR="00C800F5">
        <w:rPr>
          <w:rFonts w:ascii="Times New Roman" w:hAnsi="Times New Roman" w:cs="Times New Roman"/>
          <w:sz w:val="24"/>
          <w:szCs w:val="24"/>
        </w:rPr>
        <w:t xml:space="preserve">conforme </w:t>
      </w:r>
      <w:r w:rsidR="00333118">
        <w:rPr>
          <w:rFonts w:ascii="Times New Roman" w:hAnsi="Times New Roman" w:cs="Times New Roman"/>
          <w:sz w:val="24"/>
          <w:szCs w:val="24"/>
        </w:rPr>
        <w:t>a Lei nº 2.269, de 28 de agosto</w:t>
      </w:r>
      <w:r w:rsidRPr="00D55D21">
        <w:rPr>
          <w:rFonts w:ascii="Times New Roman" w:hAnsi="Times New Roman" w:cs="Times New Roman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800F5">
        <w:rPr>
          <w:rFonts w:ascii="Times New Roman" w:hAnsi="Times New Roman" w:cs="Times New Roman"/>
          <w:sz w:val="24"/>
          <w:szCs w:val="24"/>
        </w:rPr>
        <w:t>que dispõe sobre as d</w:t>
      </w:r>
      <w:r w:rsidRPr="00D55D21">
        <w:rPr>
          <w:rFonts w:ascii="Times New Roman" w:hAnsi="Times New Roman" w:cs="Times New Roman"/>
          <w:sz w:val="24"/>
          <w:szCs w:val="24"/>
        </w:rPr>
        <w:t>iretrizes</w:t>
      </w:r>
      <w:r w:rsidR="00C800F5">
        <w:rPr>
          <w:rFonts w:ascii="Times New Roman" w:hAnsi="Times New Roman" w:cs="Times New Roman"/>
          <w:sz w:val="24"/>
          <w:szCs w:val="24"/>
        </w:rPr>
        <w:t xml:space="preserve"> para elaboração e execução da Lei Orçamentária Anual de 2026</w:t>
      </w:r>
      <w:r w:rsidRPr="00D55D21">
        <w:rPr>
          <w:rFonts w:ascii="Times New Roman" w:hAnsi="Times New Roman" w:cs="Times New Roman"/>
          <w:sz w:val="24"/>
          <w:szCs w:val="24"/>
        </w:rPr>
        <w:t>.</w:t>
      </w:r>
    </w:p>
    <w:p w14:paraId="75E46AD0" w14:textId="4ED2CC73" w:rsidR="00C800F5" w:rsidRDefault="00C800F5" w:rsidP="00D55D21">
      <w:pPr>
        <w:jc w:val="both"/>
        <w:rPr>
          <w:rFonts w:ascii="Times New Roman" w:hAnsi="Times New Roman" w:cs="Times New Roman"/>
          <w:sz w:val="24"/>
          <w:szCs w:val="24"/>
        </w:rPr>
      </w:pPr>
      <w:r w:rsidRPr="00C800F5">
        <w:rPr>
          <w:rFonts w:ascii="Times New Roman" w:hAnsi="Times New Roman" w:cs="Times New Roman"/>
          <w:sz w:val="24"/>
          <w:szCs w:val="24"/>
        </w:rPr>
        <w:t xml:space="preserve">Art. 3º A exclusão ou alteração de programas constantes </w:t>
      </w:r>
      <w:r w:rsidR="00196A1E">
        <w:rPr>
          <w:rFonts w:ascii="Times New Roman" w:hAnsi="Times New Roman" w:cs="Times New Roman"/>
          <w:sz w:val="24"/>
          <w:szCs w:val="24"/>
        </w:rPr>
        <w:t>do Plano Plurianual 2026-2029</w:t>
      </w:r>
      <w:r w:rsidRPr="00C800F5">
        <w:rPr>
          <w:rFonts w:ascii="Times New Roman" w:hAnsi="Times New Roman" w:cs="Times New Roman"/>
          <w:sz w:val="24"/>
          <w:szCs w:val="24"/>
        </w:rPr>
        <w:t>, bem como a inclusão de novos programas, poder</w:t>
      </w:r>
      <w:r w:rsidR="00196A1E">
        <w:rPr>
          <w:rFonts w:ascii="Times New Roman" w:hAnsi="Times New Roman" w:cs="Times New Roman"/>
          <w:sz w:val="24"/>
          <w:szCs w:val="24"/>
        </w:rPr>
        <w:t>á</w:t>
      </w:r>
      <w:r w:rsidRPr="00C800F5">
        <w:rPr>
          <w:rFonts w:ascii="Times New Roman" w:hAnsi="Times New Roman" w:cs="Times New Roman"/>
          <w:sz w:val="24"/>
          <w:szCs w:val="24"/>
        </w:rPr>
        <w:t xml:space="preserve"> ser propost</w:t>
      </w:r>
      <w:r w:rsidR="00196A1E">
        <w:rPr>
          <w:rFonts w:ascii="Times New Roman" w:hAnsi="Times New Roman" w:cs="Times New Roman"/>
          <w:sz w:val="24"/>
          <w:szCs w:val="24"/>
        </w:rPr>
        <w:t>a</w:t>
      </w:r>
      <w:r w:rsidRPr="00C800F5">
        <w:rPr>
          <w:rFonts w:ascii="Times New Roman" w:hAnsi="Times New Roman" w:cs="Times New Roman"/>
          <w:sz w:val="24"/>
          <w:szCs w:val="24"/>
        </w:rPr>
        <w:t xml:space="preserve"> pelo Poder Executivo, por meio de Projeto de Lei</w:t>
      </w:r>
      <w:r w:rsidR="00196A1E">
        <w:rPr>
          <w:rFonts w:ascii="Times New Roman" w:hAnsi="Times New Roman" w:cs="Times New Roman"/>
          <w:sz w:val="24"/>
          <w:szCs w:val="24"/>
        </w:rPr>
        <w:t xml:space="preserve"> ou de </w:t>
      </w:r>
      <w:r w:rsidRPr="00C800F5">
        <w:rPr>
          <w:rFonts w:ascii="Times New Roman" w:hAnsi="Times New Roman" w:cs="Times New Roman"/>
          <w:sz w:val="24"/>
          <w:szCs w:val="24"/>
        </w:rPr>
        <w:t xml:space="preserve">Revisão do Plano. </w:t>
      </w:r>
    </w:p>
    <w:p w14:paraId="6731D138" w14:textId="5D028C8F" w:rsidR="00C800F5" w:rsidRDefault="00C800F5" w:rsidP="00D55D21">
      <w:pPr>
        <w:jc w:val="both"/>
        <w:rPr>
          <w:rFonts w:ascii="Times New Roman" w:hAnsi="Times New Roman" w:cs="Times New Roman"/>
          <w:sz w:val="24"/>
          <w:szCs w:val="24"/>
        </w:rPr>
      </w:pPr>
      <w:r w:rsidRPr="00C800F5">
        <w:rPr>
          <w:rFonts w:ascii="Times New Roman" w:hAnsi="Times New Roman" w:cs="Times New Roman"/>
          <w:sz w:val="24"/>
          <w:szCs w:val="24"/>
        </w:rPr>
        <w:t xml:space="preserve">Art. 4º A inclusão, exclusão ou alteração de ações </w:t>
      </w:r>
      <w:r w:rsidR="00E07B84">
        <w:rPr>
          <w:rFonts w:ascii="Times New Roman" w:hAnsi="Times New Roman" w:cs="Times New Roman"/>
          <w:sz w:val="24"/>
          <w:szCs w:val="24"/>
        </w:rPr>
        <w:t>orçamen</w:t>
      </w:r>
      <w:r w:rsidRPr="00C800F5">
        <w:rPr>
          <w:rFonts w:ascii="Times New Roman" w:hAnsi="Times New Roman" w:cs="Times New Roman"/>
          <w:sz w:val="24"/>
          <w:szCs w:val="24"/>
        </w:rPr>
        <w:t xml:space="preserve">tárias </w:t>
      </w:r>
      <w:r w:rsidR="00E07B84">
        <w:rPr>
          <w:rFonts w:ascii="Times New Roman" w:hAnsi="Times New Roman" w:cs="Times New Roman"/>
          <w:sz w:val="24"/>
          <w:szCs w:val="24"/>
        </w:rPr>
        <w:t>e suas metas</w:t>
      </w:r>
      <w:r w:rsidR="00BB4168">
        <w:rPr>
          <w:rFonts w:ascii="Times New Roman" w:hAnsi="Times New Roman" w:cs="Times New Roman"/>
          <w:sz w:val="24"/>
          <w:szCs w:val="24"/>
        </w:rPr>
        <w:t xml:space="preserve"> financeiras</w:t>
      </w:r>
      <w:r w:rsidR="00E07B84">
        <w:rPr>
          <w:rFonts w:ascii="Times New Roman" w:hAnsi="Times New Roman" w:cs="Times New Roman"/>
          <w:sz w:val="24"/>
          <w:szCs w:val="24"/>
        </w:rPr>
        <w:t xml:space="preserve"> </w:t>
      </w:r>
      <w:r w:rsidRPr="00C800F5">
        <w:rPr>
          <w:rFonts w:ascii="Times New Roman" w:hAnsi="Times New Roman" w:cs="Times New Roman"/>
          <w:sz w:val="24"/>
          <w:szCs w:val="24"/>
        </w:rPr>
        <w:t>poderão ocorrer por intermédio da L</w:t>
      </w:r>
      <w:r w:rsidR="00BB00F7">
        <w:rPr>
          <w:rFonts w:ascii="Times New Roman" w:hAnsi="Times New Roman" w:cs="Times New Roman"/>
          <w:sz w:val="24"/>
          <w:szCs w:val="24"/>
        </w:rPr>
        <w:t xml:space="preserve">ei Orçamentária Anual (LOA) </w:t>
      </w:r>
      <w:r w:rsidRPr="00C800F5">
        <w:rPr>
          <w:rFonts w:ascii="Times New Roman" w:hAnsi="Times New Roman" w:cs="Times New Roman"/>
          <w:sz w:val="24"/>
          <w:szCs w:val="24"/>
        </w:rPr>
        <w:t xml:space="preserve">ou de seus créditos adicionais, apropriando-se ao respectivo programa as modificações consequentes. </w:t>
      </w:r>
    </w:p>
    <w:p w14:paraId="3D4C6BCC" w14:textId="0A1A5263" w:rsidR="00BB00F7" w:rsidRDefault="00C800F5" w:rsidP="00D55D21">
      <w:pPr>
        <w:jc w:val="both"/>
        <w:rPr>
          <w:rFonts w:ascii="Times New Roman" w:hAnsi="Times New Roman" w:cs="Times New Roman"/>
          <w:sz w:val="24"/>
          <w:szCs w:val="24"/>
        </w:rPr>
      </w:pPr>
      <w:r w:rsidRPr="00C800F5">
        <w:rPr>
          <w:rFonts w:ascii="Times New Roman" w:hAnsi="Times New Roman" w:cs="Times New Roman"/>
          <w:sz w:val="24"/>
          <w:szCs w:val="24"/>
        </w:rPr>
        <w:t xml:space="preserve">Parágrafo único. De acordo com o disposto no </w:t>
      </w:r>
      <w:r w:rsidRPr="00BB00F7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="00BB00F7">
        <w:rPr>
          <w:rFonts w:ascii="Times New Roman" w:hAnsi="Times New Roman" w:cs="Times New Roman"/>
          <w:sz w:val="24"/>
          <w:szCs w:val="24"/>
        </w:rPr>
        <w:t xml:space="preserve"> deste artigo</w:t>
      </w:r>
      <w:r w:rsidRPr="00C800F5">
        <w:rPr>
          <w:rFonts w:ascii="Times New Roman" w:hAnsi="Times New Roman" w:cs="Times New Roman"/>
          <w:sz w:val="24"/>
          <w:szCs w:val="24"/>
        </w:rPr>
        <w:t>, fica o Poder Executivo autorizado a adequar as metas</w:t>
      </w:r>
      <w:r w:rsidR="00BB4168">
        <w:rPr>
          <w:rFonts w:ascii="Times New Roman" w:hAnsi="Times New Roman" w:cs="Times New Roman"/>
          <w:sz w:val="24"/>
          <w:szCs w:val="24"/>
        </w:rPr>
        <w:t xml:space="preserve"> físicas</w:t>
      </w:r>
      <w:r w:rsidRPr="00C800F5">
        <w:rPr>
          <w:rFonts w:ascii="Times New Roman" w:hAnsi="Times New Roman" w:cs="Times New Roman"/>
          <w:sz w:val="24"/>
          <w:szCs w:val="24"/>
        </w:rPr>
        <w:t xml:space="preserve"> das ações orçamentárias para compatibilizá-las com as alterações de valor ou com outras modificações efetivadas na L</w:t>
      </w:r>
      <w:r w:rsidR="004B4DB3">
        <w:rPr>
          <w:rFonts w:ascii="Times New Roman" w:hAnsi="Times New Roman" w:cs="Times New Roman"/>
          <w:sz w:val="24"/>
          <w:szCs w:val="24"/>
        </w:rPr>
        <w:t>O</w:t>
      </w:r>
      <w:r w:rsidRPr="00C800F5">
        <w:rPr>
          <w:rFonts w:ascii="Times New Roman" w:hAnsi="Times New Roman" w:cs="Times New Roman"/>
          <w:sz w:val="24"/>
          <w:szCs w:val="24"/>
        </w:rPr>
        <w:t xml:space="preserve">A. </w:t>
      </w:r>
    </w:p>
    <w:p w14:paraId="47D16A23" w14:textId="11C9DF11" w:rsidR="00D55D21" w:rsidRPr="00D55D21" w:rsidRDefault="00D55D21" w:rsidP="00D55D21">
      <w:pPr>
        <w:jc w:val="both"/>
        <w:rPr>
          <w:rFonts w:ascii="Times New Roman" w:hAnsi="Times New Roman" w:cs="Times New Roman"/>
          <w:sz w:val="24"/>
          <w:szCs w:val="24"/>
        </w:rPr>
      </w:pPr>
      <w:r w:rsidRPr="00D55D21">
        <w:rPr>
          <w:rFonts w:ascii="Times New Roman" w:hAnsi="Times New Roman" w:cs="Times New Roman"/>
          <w:sz w:val="24"/>
          <w:szCs w:val="24"/>
        </w:rPr>
        <w:t xml:space="preserve">Art. </w:t>
      </w:r>
      <w:r w:rsidR="00E07B84">
        <w:rPr>
          <w:rFonts w:ascii="Times New Roman" w:hAnsi="Times New Roman" w:cs="Times New Roman"/>
          <w:sz w:val="24"/>
          <w:szCs w:val="24"/>
        </w:rPr>
        <w:t>5</w:t>
      </w:r>
      <w:r w:rsidRPr="00D55D21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14:paraId="489960AB" w14:textId="522C4427" w:rsidR="00B21D83" w:rsidRPr="00B21D83" w:rsidRDefault="00B21D83" w:rsidP="00B21D83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B21D8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B21D83">
        <w:rPr>
          <w:rFonts w:ascii="Times New Roman" w:hAnsi="Times New Roman" w:cs="Times New Roman"/>
          <w:sz w:val="24"/>
          <w:szCs w:val="24"/>
        </w:rPr>
        <w:t xml:space="preserve">Lima Duarte,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B21D83">
        <w:rPr>
          <w:rFonts w:ascii="Times New Roman" w:hAnsi="Times New Roman" w:cs="Times New Roman"/>
          <w:sz w:val="24"/>
          <w:szCs w:val="24"/>
        </w:rPr>
        <w:t xml:space="preserve"> de setembro de 2025.</w:t>
      </w:r>
    </w:p>
    <w:p w14:paraId="3F1E53AB" w14:textId="77777777" w:rsidR="00B21D83" w:rsidRPr="00B21D83" w:rsidRDefault="00B21D83" w:rsidP="00B21D83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097C8EE8" w14:textId="77777777" w:rsidR="00B21D83" w:rsidRPr="00B21D83" w:rsidRDefault="00B21D83" w:rsidP="00B21D83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B21D83">
        <w:rPr>
          <w:rFonts w:ascii="Times New Roman" w:hAnsi="Times New Roman" w:cs="Times New Roman"/>
          <w:sz w:val="24"/>
          <w:szCs w:val="24"/>
        </w:rPr>
        <w:t>Elenice Pereira Delgado Santelli</w:t>
      </w:r>
    </w:p>
    <w:p w14:paraId="1ECBA99F" w14:textId="7DD472D4" w:rsidR="00D55D21" w:rsidRPr="00D55D21" w:rsidRDefault="00B21D83" w:rsidP="00461B52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D83">
        <w:rPr>
          <w:rFonts w:ascii="Times New Roman" w:hAnsi="Times New Roman" w:cs="Times New Roman"/>
          <w:sz w:val="24"/>
          <w:szCs w:val="24"/>
        </w:rPr>
        <w:t>Prefeita Municipal</w:t>
      </w:r>
    </w:p>
    <w:sectPr w:rsidR="00D55D21" w:rsidRPr="00D55D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8075F" w14:textId="77777777" w:rsidR="007A0A3B" w:rsidRDefault="007A0A3B" w:rsidP="00B21D83">
      <w:pPr>
        <w:spacing w:after="0" w:line="240" w:lineRule="auto"/>
      </w:pPr>
      <w:r>
        <w:separator/>
      </w:r>
    </w:p>
  </w:endnote>
  <w:endnote w:type="continuationSeparator" w:id="0">
    <w:p w14:paraId="2A0BD3B4" w14:textId="77777777" w:rsidR="007A0A3B" w:rsidRDefault="007A0A3B" w:rsidP="00B2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32748" w14:textId="77777777" w:rsidR="007A0A3B" w:rsidRDefault="007A0A3B" w:rsidP="00B21D83">
      <w:pPr>
        <w:spacing w:after="0" w:line="240" w:lineRule="auto"/>
      </w:pPr>
      <w:r>
        <w:separator/>
      </w:r>
    </w:p>
  </w:footnote>
  <w:footnote w:type="continuationSeparator" w:id="0">
    <w:p w14:paraId="05E8C024" w14:textId="77777777" w:rsidR="007A0A3B" w:rsidRDefault="007A0A3B" w:rsidP="00B21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F0177" w14:textId="77777777" w:rsidR="00B21D83" w:rsidRDefault="00B21D83" w:rsidP="00B21D83">
    <w:pPr>
      <w:pStyle w:val="Cabealho"/>
      <w:tabs>
        <w:tab w:val="right" w:pos="9900"/>
      </w:tabs>
      <w:ind w:left="1" w:right="-855" w:hanging="4"/>
      <w:jc w:val="center"/>
      <w:rPr>
        <w:rFonts w:ascii="Batang" w:eastAsia="Batang" w:hAnsi="Batang"/>
        <w:b/>
        <w:bCs/>
        <w:i/>
        <w:iCs/>
        <w:color w:val="000080"/>
        <w:sz w:val="40"/>
      </w:rPr>
    </w:pPr>
    <w:r>
      <w:rPr>
        <w:rFonts w:ascii="Batang" w:eastAsia="Batang" w:hAnsi="Batang" w:hint="eastAsia"/>
        <w:b/>
        <w:bCs/>
        <w:i/>
        <w:iCs/>
        <w:noProof/>
        <w:color w:val="000080"/>
        <w:sz w:val="40"/>
        <w:lang w:eastAsia="pt-BR"/>
      </w:rPr>
      <w:drawing>
        <wp:anchor distT="0" distB="0" distL="114300" distR="114300" simplePos="0" relativeHeight="251659264" behindDoc="0" locked="0" layoutInCell="1" allowOverlap="0" wp14:anchorId="2C2D726E" wp14:editId="668BBE4D">
          <wp:simplePos x="0" y="0"/>
          <wp:positionH relativeFrom="column">
            <wp:posOffset>-824865</wp:posOffset>
          </wp:positionH>
          <wp:positionV relativeFrom="paragraph">
            <wp:posOffset>-138430</wp:posOffset>
          </wp:positionV>
          <wp:extent cx="748665" cy="8096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Prefeitura </w:t>
    </w:r>
    <w:r w:rsidRPr="00DA5E20">
      <w:rPr>
        <w:rFonts w:ascii="Batang" w:eastAsia="Batang" w:hAnsi="Batang" w:hint="eastAsia"/>
        <w:b/>
        <w:bCs/>
        <w:iCs/>
        <w:color w:val="000080"/>
        <w:sz w:val="40"/>
        <w:u w:val="single"/>
      </w:rPr>
      <w:t>Municipal</w:t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 de Lima Duarte – MG</w:t>
    </w:r>
  </w:p>
  <w:p w14:paraId="53382698" w14:textId="77777777" w:rsidR="00B21D83" w:rsidRPr="0018771E" w:rsidRDefault="00B21D83" w:rsidP="00B21D83">
    <w:pPr>
      <w:pStyle w:val="Rodap"/>
      <w:tabs>
        <w:tab w:val="right" w:pos="9360"/>
      </w:tabs>
      <w:ind w:right="-702" w:hanging="2"/>
      <w:jc w:val="center"/>
      <w:rPr>
        <w:rFonts w:ascii="Batang" w:eastAsia="Batang" w:hAnsi="Batang"/>
        <w:i/>
        <w:iCs/>
        <w:color w:val="000080"/>
        <w:sz w:val="24"/>
      </w:rPr>
    </w:pPr>
    <w:r>
      <w:rPr>
        <w:rFonts w:ascii="Batang" w:eastAsia="Batang" w:hAnsi="Batang"/>
        <w:i/>
        <w:iCs/>
        <w:color w:val="000080"/>
        <w:sz w:val="24"/>
      </w:rPr>
      <w:t>Rua Tancredo Alves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, </w:t>
    </w:r>
    <w:r>
      <w:rPr>
        <w:rFonts w:ascii="Batang" w:eastAsia="Batang" w:hAnsi="Batang"/>
        <w:i/>
        <w:iCs/>
        <w:color w:val="000080"/>
        <w:sz w:val="24"/>
      </w:rPr>
      <w:t>57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 – Centro – 36.140-000 - Telefax: (32) 3281-</w:t>
    </w:r>
    <w:proofErr w:type="gramStart"/>
    <w:r w:rsidRPr="0018771E">
      <w:rPr>
        <w:rFonts w:ascii="Batang" w:eastAsia="Batang" w:hAnsi="Batang" w:hint="eastAsia"/>
        <w:i/>
        <w:iCs/>
        <w:color w:val="000080"/>
        <w:sz w:val="24"/>
      </w:rPr>
      <w:t>1281</w:t>
    </w:r>
    <w:proofErr w:type="gramEnd"/>
  </w:p>
  <w:p w14:paraId="2BDC701C" w14:textId="77777777" w:rsidR="00B21D83" w:rsidRDefault="00B21D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21"/>
    <w:rsid w:val="00005CB6"/>
    <w:rsid w:val="00101664"/>
    <w:rsid w:val="00196A1E"/>
    <w:rsid w:val="001F7440"/>
    <w:rsid w:val="00333118"/>
    <w:rsid w:val="0033395C"/>
    <w:rsid w:val="00441BE9"/>
    <w:rsid w:val="00461B52"/>
    <w:rsid w:val="004A7454"/>
    <w:rsid w:val="004B4DB3"/>
    <w:rsid w:val="004C23EF"/>
    <w:rsid w:val="004E7BE7"/>
    <w:rsid w:val="005A31EB"/>
    <w:rsid w:val="006077CE"/>
    <w:rsid w:val="00661F6D"/>
    <w:rsid w:val="00673885"/>
    <w:rsid w:val="0070584E"/>
    <w:rsid w:val="007472F8"/>
    <w:rsid w:val="00776311"/>
    <w:rsid w:val="007A0A3B"/>
    <w:rsid w:val="008F583B"/>
    <w:rsid w:val="00906ADC"/>
    <w:rsid w:val="00B21D83"/>
    <w:rsid w:val="00BB00F7"/>
    <w:rsid w:val="00BB4168"/>
    <w:rsid w:val="00C800F5"/>
    <w:rsid w:val="00CF128B"/>
    <w:rsid w:val="00D46101"/>
    <w:rsid w:val="00D55D21"/>
    <w:rsid w:val="00DC130C"/>
    <w:rsid w:val="00E07B84"/>
    <w:rsid w:val="00E11B4E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8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5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5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5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5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5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D55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5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5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5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5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5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5D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5D2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5D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5D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5D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5D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D55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5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5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5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5D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5D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5D2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5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5D2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5D2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07B8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07B8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21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1D83"/>
  </w:style>
  <w:style w:type="paragraph" w:styleId="Rodap">
    <w:name w:val="footer"/>
    <w:basedOn w:val="Normal"/>
    <w:link w:val="RodapChar"/>
    <w:uiPriority w:val="99"/>
    <w:unhideWhenUsed/>
    <w:rsid w:val="00B21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5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5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5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5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5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D55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5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5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5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5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5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5D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5D2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5D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5D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5D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5D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D55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5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5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5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5D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5D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5D2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5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5D2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5D2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07B8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07B8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21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1D83"/>
  </w:style>
  <w:style w:type="paragraph" w:styleId="Rodap">
    <w:name w:val="footer"/>
    <w:basedOn w:val="Normal"/>
    <w:link w:val="RodapChar"/>
    <w:uiPriority w:val="99"/>
    <w:unhideWhenUsed/>
    <w:rsid w:val="00B21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 Fontes</dc:creator>
  <cp:lastModifiedBy>Usuário do Windows</cp:lastModifiedBy>
  <cp:revision>2</cp:revision>
  <cp:lastPrinted>2025-09-29T18:09:00Z</cp:lastPrinted>
  <dcterms:created xsi:type="dcterms:W3CDTF">2025-09-30T17:55:00Z</dcterms:created>
  <dcterms:modified xsi:type="dcterms:W3CDTF">2025-09-30T17:55:00Z</dcterms:modified>
</cp:coreProperties>
</file>