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B323EF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B323EF">
        <w:rPr>
          <w:b/>
        </w:rPr>
        <w:t xml:space="preserve">Municipal </w:t>
      </w:r>
      <w:bookmarkStart w:id="0" w:name="_GoBack"/>
      <w:bookmarkEnd w:id="0"/>
      <w:r w:rsidRPr="00685E10">
        <w:rPr>
          <w:b/>
        </w:rPr>
        <w:t>nº 980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Concede isenção de impostos e anistia aos devedores do DEMAE e dá outras providências.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>Art. 1º - Ficam isentos da taxa de água todos os consumidores do Município de Lima Duarte por um período de 36 (trinta e seis) meses a contar da data de publicação desta lei.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>Art. 2º - Ficam anistiados todos os devedores do DEMAE desde a sua criação até a data de vigência da presente lei.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>Art. 3º - Esta lei entrará em vigor na data de sua publicação.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>Art. 4º - Revogam-se as disposições em contrário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Prefeitura Municipal de Lima Duarte, aos 30 dias do mês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 xml:space="preserve">Chefe de Gabinete 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Default="00DC7113" w:rsidP="00DC7113"/>
    <w:p w:rsidR="00B56B08" w:rsidRDefault="00B323EF"/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C08FE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B585B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A4AA1"/>
    <w:rsid w:val="009D0873"/>
    <w:rsid w:val="009E0709"/>
    <w:rsid w:val="00A16826"/>
    <w:rsid w:val="00A265A2"/>
    <w:rsid w:val="00A40210"/>
    <w:rsid w:val="00A66A3F"/>
    <w:rsid w:val="00A73239"/>
    <w:rsid w:val="00A97245"/>
    <w:rsid w:val="00AD1584"/>
    <w:rsid w:val="00AF016B"/>
    <w:rsid w:val="00B323EF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462D4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1D05-B56F-485B-9D7E-4CAF2F26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dcterms:created xsi:type="dcterms:W3CDTF">2021-07-27T05:38:00Z</dcterms:created>
  <dcterms:modified xsi:type="dcterms:W3CDTF">2021-07-27T05:38:00Z</dcterms:modified>
</cp:coreProperties>
</file>