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406600" w:rsidRDefault="007E0168" w:rsidP="00D907EA">
      <w:pPr>
        <w:spacing w:after="100"/>
        <w:jc w:val="center"/>
        <w:rPr>
          <w:rFonts w:ascii="Times New Roman" w:hAnsi="Times New Roman" w:cs="Times New Roman"/>
          <w:bCs w:val="0"/>
          <w:iCs/>
          <w:szCs w:val="24"/>
          <w:lang w:eastAsia="ar-SA"/>
        </w:rPr>
      </w:pPr>
      <w:r w:rsidRPr="00406600">
        <w:rPr>
          <w:rFonts w:ascii="Times New Roman" w:hAnsi="Times New Roman" w:cs="Times New Roman"/>
          <w:bCs w:val="0"/>
          <w:iCs/>
          <w:szCs w:val="24"/>
          <w:lang w:eastAsia="ar-SA"/>
        </w:rPr>
        <w:t xml:space="preserve">LEI ORDINÁRIA Nº </w:t>
      </w:r>
      <w:r w:rsidR="004A053E" w:rsidRPr="00406600">
        <w:rPr>
          <w:rFonts w:ascii="Times New Roman" w:hAnsi="Times New Roman" w:cs="Times New Roman"/>
          <w:bCs w:val="0"/>
          <w:iCs/>
          <w:szCs w:val="24"/>
          <w:lang w:eastAsia="ar-SA"/>
        </w:rPr>
        <w:t>1</w:t>
      </w:r>
      <w:r w:rsidR="00B329DC" w:rsidRPr="00406600">
        <w:rPr>
          <w:rFonts w:ascii="Times New Roman" w:hAnsi="Times New Roman" w:cs="Times New Roman"/>
          <w:bCs w:val="0"/>
          <w:iCs/>
          <w:szCs w:val="24"/>
          <w:lang w:eastAsia="ar-SA"/>
        </w:rPr>
        <w:t>.</w:t>
      </w:r>
      <w:r w:rsidR="004A053E" w:rsidRPr="00406600">
        <w:rPr>
          <w:rFonts w:ascii="Times New Roman" w:hAnsi="Times New Roman" w:cs="Times New Roman"/>
          <w:bCs w:val="0"/>
          <w:iCs/>
          <w:szCs w:val="24"/>
          <w:lang w:eastAsia="ar-SA"/>
        </w:rPr>
        <w:t>85</w:t>
      </w:r>
      <w:r w:rsidR="00FD209A">
        <w:rPr>
          <w:rFonts w:ascii="Times New Roman" w:hAnsi="Times New Roman" w:cs="Times New Roman"/>
          <w:bCs w:val="0"/>
          <w:iCs/>
          <w:szCs w:val="24"/>
          <w:lang w:eastAsia="ar-SA"/>
        </w:rPr>
        <w:t>3</w:t>
      </w:r>
      <w:r w:rsidRPr="00406600">
        <w:rPr>
          <w:rFonts w:ascii="Times New Roman" w:hAnsi="Times New Roman" w:cs="Times New Roman"/>
          <w:bCs w:val="0"/>
          <w:iCs/>
          <w:szCs w:val="24"/>
          <w:lang w:eastAsia="ar-SA"/>
        </w:rPr>
        <w:t>/201</w:t>
      </w:r>
      <w:r w:rsidR="00D907EA" w:rsidRPr="00406600">
        <w:rPr>
          <w:rFonts w:ascii="Times New Roman" w:hAnsi="Times New Roman" w:cs="Times New Roman"/>
          <w:bCs w:val="0"/>
          <w:iCs/>
          <w:szCs w:val="24"/>
          <w:lang w:eastAsia="ar-SA"/>
        </w:rPr>
        <w:t>7</w:t>
      </w:r>
    </w:p>
    <w:p w:rsidR="00EE362E" w:rsidRPr="00406600" w:rsidRDefault="00EE362E" w:rsidP="00EE362E">
      <w:pPr>
        <w:spacing w:before="100" w:beforeAutospacing="1" w:after="100" w:afterAutospacing="1"/>
        <w:ind w:left="3402"/>
        <w:jc w:val="both"/>
        <w:rPr>
          <w:rFonts w:ascii="Times New Roman" w:hAnsi="Times New Roman" w:cs="Times New Roman"/>
          <w:szCs w:val="24"/>
        </w:rPr>
      </w:pPr>
      <w:r w:rsidRPr="00406600">
        <w:rPr>
          <w:rFonts w:ascii="Times New Roman" w:hAnsi="Times New Roman" w:cs="Times New Roman"/>
          <w:szCs w:val="24"/>
        </w:rPr>
        <w:t>Dispõe sobre as diretrizes orçamentárias para o exercício financeiro de 2018 na forma que menciona.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A Câmara Municipal de Lima Duarte aprova e o Prefeito Municipal sanciona a seguinte Lei: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DISPOSIÇÕES PRELIMINARES</w:t>
      </w:r>
    </w:p>
    <w:p w:rsidR="00EE362E" w:rsidRPr="00406600" w:rsidRDefault="00EE362E" w:rsidP="00EE362E">
      <w:pPr>
        <w:spacing w:before="100" w:beforeAutospacing="1" w:after="100" w:afterAutospacing="1"/>
        <w:jc w:val="center"/>
        <w:rPr>
          <w:rFonts w:ascii="Times New Roman" w:hAnsi="Times New Roman" w:cs="Times New Roman"/>
          <w:b w:val="0"/>
          <w:szCs w:val="24"/>
        </w:rPr>
      </w:pP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1º. Em cumprimento às disposições da Constituição Federal, Constituição Estadual, da Lei Orgânica Municipal e da Lei Complementar nº 101, de 4 de maio de 2000, ficam estabelecidas as diretrizes orçamentárias do Município de Lima Duarte para o exercício de 2018, compreendendo:</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 - as disposições sobre prioridades e metas da Administração Pública Municipal;</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 - a estrutura do orçamento municipal;</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III - a elaboração, alteração e execução orçamentária;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IV - as despesas de pessoal e encargos sociais;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 - as condições para concessão de recursos públicos;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 - as alterações na legislação tributária;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VII - as disposições sobre a dívida pública municipal; 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VIII - as disposições finais.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Parágrafo único. Integram esta Lei, os seguintes Anexos: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a) metas fiscais elaboradas em conformidade com os §§1º e 2º do art. 4º, da Lei Complementar nº 101, de 2000;</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b) riscos e eventos fiscais elaborados em conformidade com o §3º do art. 4º, da Lei Complementar nº 101, de 2000.</w:t>
      </w:r>
    </w:p>
    <w:p w:rsidR="00EE362E" w:rsidRPr="00406600" w:rsidRDefault="00EE362E" w:rsidP="00EE362E">
      <w:pPr>
        <w:spacing w:before="100" w:beforeAutospacing="1" w:after="100" w:afterAutospacing="1"/>
        <w:jc w:val="center"/>
        <w:rPr>
          <w:rFonts w:ascii="Times New Roman" w:hAnsi="Times New Roman" w:cs="Times New Roman"/>
          <w:b w:val="0"/>
          <w:szCs w:val="24"/>
        </w:rPr>
      </w:pP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lastRenderedPageBreak/>
        <w:t>CAPÍTULO II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PRIORIDADES E METAS DA ADMINISTRAÇÃO PÚBLICA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2º. As prioridades e metas da Administração Pública Municipal para o exercício de 2018, atendidas as despesas que constituem obrigação constitucional ou legal do Município e as de funcionamento dos órgãos e entidades municipais, são estabelecidas no anexo do projeto de lei que “Dispõe sobre o Plano Plurianual para o período de 2018-2021”, encaminhado à Câmara Municipal no prazo legal.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O Orçamento Anual será elaborado em consonância com as prioridades e metas estabelecidas na forma do caput deste artigo e deverão estar adequadas ao Plano Plurianual – PPA 2018-2021.</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III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 ESTRUTURA DO ORÇAMENTO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Art.3º. O Orçamento para o exercício financeiro de 2018 abrangerá os Poderes Legislativo e Executivo, seus fundos, órgãos e entidades da Administração Direta e Indireta e será elaborado levando-se em conta à estrutura organizacional do Município e suas possíveis alterações.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4º. A proposta orçamentária do Município evidenciará as receitas por rubricas e suas respectivas despesas, por função, subfunção, programa, projetos, atividades e operações especiais de cada unidade gestora e conterá:</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 - mensagem encaminhando o projeto de lei;</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 - texto da lei;</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III - demonstrativo da receita e despesa, segundo as categorias econômicas;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IV - sumário geral da receita por fontes e da despesa por funções de governo;</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 - quadro das dotações por órgãos de governo e administração;</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 - demonstrativo da despesa por órgãos e funções;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VII - programa de trabalho através da funcional programática; 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VIII - demonstrativo da despesa segundo sua natureza.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Art. 5º. Para efeito desta Lei entende-se por:</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I - Programa, o instrumento de organização da ação governamental visando à concretização dos objetivos pretendidos, sendo mensurado por indicadores estabelecidos no Plano Plurianual;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II - Atividade, um instrumento de programação para alcançar o objetivo de um programa, envolvendo um conjunto de operações que se realizam de modo contínuo e permanente, das quais resulta um produto necessário à manutenção da ação de governo;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III - Projeto, um instrumento de programação para alcançar o objetivo de um programa, envolvendo um conjunto de operações limitadas no tempo, das quais resulta um produto que concorre para a expansão ou aperfeiçoamento da ação de governo; e</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IV - Operação especial, as despesas que não contribuem para manutenção, expansão ou aperfeiçoamento das ações de governo, das quais não resulta um produto e não gera contraprestação direta sob a forma de bens ou serviços.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As categorias de programação de que trata esta Lei serão identificadas na proposta orçamentária de 2018 e na respectiva Lei, bem como nos créditos adicionais, por programas e respectivos projetos, atividades ou operações especiais.</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IV</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 ELABORAÇÃO, ALTERAÇÃO E EXECUÇÃO DO ORÇAMENTO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6º. A proposta orçamentária do Município, relativa ao exercício financeiro de 2018, deverá ser elaborada em conformidade com os diversos princípios, além dos contábeis geralmente aceitos, o de igualdade, prioridade de investimentos nas áreas sociais, austeridade na gestão dos recursos públicos, modernização na ação governamental, transparência na elaboração e execução do orçamento.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7º. O Poder Legislativo elaborará seu detalhamento de despesas para o exercício financeiro de 2018, observadas as determinações contidas nesta Lei e no art. 29-A da Constituição Federal, devendo encaminhá-lo ao Poder Executivo até 30 (trinta) dias antes do prazo de remessa do projeto de lei orçamentária de 2018 a Câmara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8º. As emendas ao projeto de lei do orçamento devem obedecer ao disposto no art. 166, §3º, da Constituição Federal e na alínea “b” do inciso III do art. 160 da Constituição do Estado, e não poderão indicar recursos provenientes de anulação das seguintes despesas: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 - dotações com recursos vinculados;</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 - dotações referentes à contrapartida;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III - dotações referentes a obras em andamento; 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IV - dotações referentes a precatórios e sentenças judiciais.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9.º O projeto de lei orçamentária de 2018 contemplará autorização ao Chefe do Poder Executivo municipal para abertura de créditos adicionais suplementares, observando o disposto na Lei nº 4320, de 17 de março de 1964, visando:</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 - criar, quando for o caso, natureza de despesa em categoria de programação já existente;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 - movimentar, internamente, o Orçamento quando as dotações existentes se mostrarem insuficientes para a realização de determinadas despesas; 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III - incorporar valores que excedam às previsões constantes da Lei Orçamentária de 2018.</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Art.10. O Poder Executivo poderá, mediante Lei, transpor, remanejar, transferir ou utilizar, total ou parcialmente, as dotações orçamentárias aprovadas na Lei Orçamentária de 2018  em créditos adicionais, em decorrência da extinção, transformação, transferência, incorporação ou desmembramento de órgãos e entidades, bem como de alterações de suas competências ou atribuições, mantida a estrutura programática, expressa por categoria de programação, conforme definida no parágrafo único do art. 5º desta Lei.</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A transposição, transferência ou remanejamento não poderá resultar em alteração dos valores das programações aprovadas na Lei Orçamentária de 2018 ou em créditos adicionais, podendo haver, excepcionalmente, ajuste na classificação funcional.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11. O Poder Executivo poderá, mediante decreto, incluir ou alterar fontes de recursos nas dotações orçamentárias aprovadas na Lei Orçamentária de 2018, respeitadas as devidas vinculações.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A movimentação entre fontes de recursos de uma única dotação orçamentária não configura abertura de crédito adicional.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12. O Governo Municipal destinará, no mínimo, 25% (vinte e cinco por cento) de sua receita resultante de impostos e das transferências federais e estaduais de impostos, na manutenção e desenvolvimento do ensino, como estabelece o artigo 212 da Constituição Federal e Lei Federal nº 11.494, de 20 de junho de 2007.</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O Município aplicará parte dos recursos a que se refere o caput deste artigo, na manutenção e desenvolvimento da educação básica e à remuneração condigna dos trabalhadores da educação, nos termos estabelecidos no art. 60 do Ato das Disposições Constitucionais Transitórias da Constituição Federal.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13. A proposta orçamentária consignará previsão de recursos para financiamento das ações e serviços públicos de saúde no ano de 2018, no mínimo, de 15% (quinze por cento) do produto da arrecadação dos impostos a que se refere o art. 156 e dos recursos de que tratam os artigos 158 e 159, I, b e § 3º, da Constituição Federal.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14. A Lei Orçamentária de 2018 deverá conter Reserva de Contingência, limitada a 2% (dois por cento) da receita corrente líquida prevista, destinada a atender os passivos contingentes, os riscos e eventos fiscais, dentre outros imprevistos e imprevisíveis.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Para efeito desta Lei, entendem-se como eventos e riscos fiscais imprevistos e imprevisíveis, entre outros, as despesas necessárias ao funcionamento e manutenção dos serviços públicos e da estrutura da Administração Municipal, não orçadas ou orçadas a menor, as decorrentes de criação, expansão ou aperfeiçoamento de ações governamentais às necessidades do Poder Público.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15. Considera-se despesa irrelevante para fins do disposto no §3º do art.16 da Lei Complementar nº 101, de 2000, a despesa cujo valor não ultrapasse os limites estabelecidos nos incisos I e II do art. 24, da Lei nº 8.666, de 21 de junho de 1993, com suas alterações posteriores.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16. Até 30 (trinta) dias após a aprovação e publicação da Lei Orçamentária de 2018, o Poder Executivo estabelecerá a programação financeira e o cronograma de execução mensal de desembolso, bem como as metas bimestrais de arrecadação.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O cronograma anual de desembolso mensal do Poder Legislativo terá como referencial o repasse previsto no art.168 da Constituição Federal, na forma de duodécimos, respeitado o limite constitucional, o prazo mensal e a proporção fixada na Lei Orçamentária de 2018, em observância as regras dispostas nos incisos I a III do art. 2º do art. 29-A da Constituição Federal.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17. Se verificado, ao final de um bimestre, que a realização da receita não será suficiente para garantir o equilíbrio das contas públicas, os Poderes Executivo e Legislativo procederão à respectiva limitação de empenho e de movimentação financeira, podendo definir percentuais específicos, para o conjunto de projetos, atividades e operações especiais, calculado de forma proporcional à participação dos Poderes no total das dotações iniciais constantes da Lei Orçamentária de 2018.</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 1º Excluem do caput deste artigo às despesas que constituem obrigação constitucional e legal de execução e as despesas destinadas ao pagamento dos serviços da dívida.</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 2º Na hipótese de ocorrência do disposto no caput deste artigo o Poder Executivo comunicará ao Poder Legislativo o montante que lhe caberá tornar indisponível para empenho e para movimentação financeira.</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 3º Para efeito de aplicação deste artigo serão considerados, preferencialmente, os recursos orçamentários destinados às despesas de capital e às despesas correntes que não são afetas a serviços básicos.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 4º No caso de restabelecimento da receita prevista, ainda que parcial, a recomposição das dotações cujos empenhos foram limitados dar-se-á de forma proporcional às reduções efetivadas.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18. Os pagamentos devidos pela Fazenda Pública Municipal, em virtude de sentença judiciária, far-se-ão exclusivamente na ordem cronológica de apresentação dos precatórios e à conta dos créditos respectivos, conforme disposto no art. 100 da Constituição Federal.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19. A destinação de recursos para novos projetos somente será permitida depois de adequadamente atendidos os projetos em andamento e as despesas de conservação do patrimônio, salvos os projetos programados com recursos de convênios e operações de crédito.</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V</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DESPESAS COM PESSOAL E ENCARGOS SOCIAIS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20. Para efeito do disposto nos artigos 37, V e X e 169, §1º, inc. II, da Constituição Federal, bem como a Lei Complementar nº 101, de 2000, fica estabelecido que a Administração Direta e Indireta, e o Poder Legislativo, poderão criar cargos, empregos e funções, alterar a estrutura de carreira, realizar concurso público, conceder qualquer vantagem, corrigir, reajustar ou aumentar a remuneração dos servidores públicos municipais e admitir pessoal, mediante lei e havendo prévia dotação orçamentária suficiente para atendimento da respectiva despesa, em observância aos limites constitucionais e legais.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Os recursos para as despesas decorrentes dos atos dispostos no caput deste artigo deverão estar previstos no Orçamento de 2018 ou acrescidos por créditos adicionais.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21. A despesa total com pessoal dos Poderes Executivo e Legislativo, respectivamente, não excederá os limites de 54% (cinqüenta e quatro por cento) e 6% (seis por cento) da Receita Corrente Líquida, observada os limites prudenciais.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22. No exercício financeiro de 2018 a realização de hora extra, quando a despesa com pessoal houver excedido o limite disposto no parágrafo único do art. 22 da Lei Complementar nº 101, de 2000, somente poderá ocorrer nos casos de necessidade temporária de excepcional interesse público, devidamente justificado pela autoridade competente.</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23. Serão considerados contratos de terceirização de mão-de-obra, para efeito do disposto no §1º do art.18 da Lei Complementar nº 101, de 2000, as despesas provenientes de contratação de pessoal para substituição de servidores pertencentes a categorias funcionais abrangidas por planos de cargos do quadro de pessoal de órgão ou entidade, desde que haja vacância dos cargos a serem substituídos, sendo tais despesas contabilizadas como Outras Despesas de Pessoal.</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VI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CONDIÇÕES PARA CONCESSÃO DE RECURSOS PÚBLICOS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24. O Poder Executivo poderá, mediante autorização legislativa específica, transferir recursos do Tesouro Municipal, a título de subvenção social, às entidades sem fins lucrativos, as quais desenvolvam atividades nas áreas social, médica, educacional, cultural e desportiva, desde que estejam legalmente constituídas.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§1º As entidades beneficiadas nos termos do caput deste artigo deverão prestar contas dos recursos recebidos aos Poderes Executivo e Legislativo, até o dia 30 (trinta) de março do ano subsequente ao do recebimento da subvenção.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§2º Fica vedada à concessão de subvenção a entidades que não cumprirem as exigências do §1º deste artigo, assim como as que não tiverem suas contas aprovadas pelo Poder Executivo.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25. O Poder Executivo poderá destinar recursos para pessoas físicas ou jurídicas situadas no Município, visando cobrir suas necessidades ou déficit, respectivamente, observadas as disposições contidas em lei municipal específica.</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26. A Lei Orçamentária conterá dotação para acobertar despesas com contribuições a entidades que visem o desenvolvimento municipal ou regional.</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VII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ALTERAÇÕES NA LEGISLAÇÃO TRIBUTÁRIA</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27. Qualquer Projeto de Lei que conceda ou amplie incentivos, isenção ou benefícios de natureza tributária ou financeira, que gere efeitos sobre a receita estimada para o Orçamento de 2018, deverá, para sua aprovação, observar os termos do art. 14 da Lei Complementar n° 101, de 2000, no que couber.</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28. O Chefe do Poder Executivo, autorizado em lei, poderá conceder benefício fiscal aos contribuintes que pagarem seus tributos em parcela única e no prazo de vencimento, ou ainda em dia com suas obrigações tributárias, devendo, nesses casos, serem considerados os cálculos da estimativa da receita.</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VIII</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DISPOSIÇÕES SOBRE A DÍVIDA PÚBLICA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Art.29. A administração da dívida pública municipal interna ou externa terá por objetivo principal a minimização de custos e a viabilização de fontes alternativas de recursos para o tesouro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30. Observada a legislação vigente, o Município poderá realizar operações de crédito destinadas a financiar despesas de capital previstas no Orçamento.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31. As operações de crédito deverão ser autorizadas por lei específica e constar do Orçamento Anual para 2018.</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32. A Lei Orçamentária de 2018 poderá autorizar a realização de operações de crédito por antecipação de receitas, assumidas a partir do dia 10 de janeiro, com quitação integral até o dia 10 de dezembro de 2018.</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CAPÍTULO IX</w:t>
      </w:r>
    </w:p>
    <w:p w:rsidR="00EE362E" w:rsidRPr="00406600" w:rsidRDefault="00EE362E" w:rsidP="00EE362E">
      <w:pPr>
        <w:spacing w:before="100" w:beforeAutospacing="1" w:after="100" w:afterAutospacing="1"/>
        <w:jc w:val="center"/>
        <w:rPr>
          <w:rFonts w:ascii="Times New Roman" w:hAnsi="Times New Roman" w:cs="Times New Roman"/>
          <w:b w:val="0"/>
          <w:szCs w:val="24"/>
        </w:rPr>
      </w:pPr>
      <w:r w:rsidRPr="00406600">
        <w:rPr>
          <w:rFonts w:ascii="Times New Roman" w:hAnsi="Times New Roman" w:cs="Times New Roman"/>
          <w:b w:val="0"/>
          <w:szCs w:val="24"/>
        </w:rPr>
        <w:t>DAS DISPOSIÇÕES FINAIS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33. A despesa de competência de outros entes da Federação só será assumida pelo Município quando firmado convênio, acordo, ajuste ou outros instrumentos congêneres, previsto recurso na lei orçamentária e que visem ao desenvolvimento municipal.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34. A Administração Municipal, tanto quanto possível, até a criação de estrutura adequada, deverá apropriar as despesas de forma a demonstrar os custos de cada ação governamental.</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35. A Proposta Orçamentária do Município, relativa ao exercício de 2018, deverá ser elaborada de conformidade com o princípio de transparência dos atos de gestão, além dos princípios contábeis geralmente aceitos, a fim de garantir o livre acesso e participação dos cidadãos às informações relativas a elaboração, execução e acompanhamento do orçamento, inclusive na discussão em audiências públicas.</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Parágrafo único. São instrumentos de transparência dos atos de gestão fiscal, aos quais será dada ampla divulgação, inclusive em meios eletrônicos de acesso público:</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 – plano plurianual, a lei de diretrizes orçamentárias e o orçamento anual;</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 – relatórios resumidos da execução orçamentária;</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III – relatórios de gestão fiscal;</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IV – balanço geral anual;</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 – audiências públicas; e</w:t>
      </w: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VI – leis, os decretos, as portarias e demais atos do Executivo</w:t>
      </w:r>
    </w:p>
    <w:p w:rsidR="00EE362E" w:rsidRPr="00406600" w:rsidRDefault="00EE362E" w:rsidP="00EE362E">
      <w:pPr>
        <w:spacing w:before="100" w:beforeAutospacing="1" w:after="100" w:afterAutospacing="1"/>
        <w:jc w:val="both"/>
        <w:rPr>
          <w:rFonts w:ascii="Times New Roman" w:hAnsi="Times New Roman" w:cs="Times New Roman"/>
          <w:b w:val="0"/>
          <w:szCs w:val="24"/>
        </w:rPr>
      </w:pPr>
      <w:r w:rsidRPr="00406600">
        <w:rPr>
          <w:rFonts w:ascii="Times New Roman" w:hAnsi="Times New Roman" w:cs="Times New Roman"/>
          <w:b w:val="0"/>
          <w:szCs w:val="24"/>
        </w:rPr>
        <w:t>Art. 36. Caso o Projeto de Lei Orçamentária de 2018 não seja devolvido até 31 de dezembro de 2017 ao Poder Executivo para sanção, até que o mesmo o seja, a programação dele constante poderá ser executada à razão de 1/12 (um doze avos).</w:t>
      </w:r>
    </w:p>
    <w:p w:rsidR="00EE362E" w:rsidRPr="00406600" w:rsidRDefault="00EE362E" w:rsidP="00EE362E">
      <w:pPr>
        <w:spacing w:before="100" w:beforeAutospacing="1" w:after="100" w:afterAutospacing="1"/>
        <w:rPr>
          <w:rFonts w:ascii="Times New Roman" w:hAnsi="Times New Roman" w:cs="Times New Roman"/>
          <w:b w:val="0"/>
          <w:szCs w:val="24"/>
        </w:rPr>
      </w:pPr>
    </w:p>
    <w:p w:rsidR="00EE362E" w:rsidRPr="00406600" w:rsidRDefault="00EE362E" w:rsidP="00EE362E">
      <w:pPr>
        <w:spacing w:before="100" w:beforeAutospacing="1" w:after="100" w:afterAutospacing="1"/>
        <w:rPr>
          <w:rFonts w:ascii="Times New Roman" w:hAnsi="Times New Roman" w:cs="Times New Roman"/>
          <w:b w:val="0"/>
          <w:szCs w:val="24"/>
        </w:rPr>
      </w:pPr>
    </w:p>
    <w:p w:rsidR="00EE362E" w:rsidRPr="00406600" w:rsidRDefault="00EE362E" w:rsidP="00EE362E">
      <w:pPr>
        <w:spacing w:before="100" w:beforeAutospacing="1" w:after="100" w:afterAutospacing="1"/>
        <w:rPr>
          <w:rFonts w:ascii="Times New Roman" w:hAnsi="Times New Roman" w:cs="Times New Roman"/>
          <w:b w:val="0"/>
          <w:szCs w:val="24"/>
        </w:rPr>
      </w:pPr>
    </w:p>
    <w:p w:rsidR="00EE362E" w:rsidRPr="00406600" w:rsidRDefault="00EE362E" w:rsidP="00EE362E">
      <w:pPr>
        <w:spacing w:before="100" w:beforeAutospacing="1" w:after="100" w:afterAutospacing="1"/>
        <w:rPr>
          <w:rFonts w:ascii="Times New Roman" w:hAnsi="Times New Roman" w:cs="Times New Roman"/>
          <w:b w:val="0"/>
          <w:szCs w:val="24"/>
        </w:rPr>
      </w:pPr>
      <w:r w:rsidRPr="00406600">
        <w:rPr>
          <w:rFonts w:ascii="Times New Roman" w:hAnsi="Times New Roman" w:cs="Times New Roman"/>
          <w:b w:val="0"/>
          <w:szCs w:val="24"/>
        </w:rPr>
        <w:t>Art. 37. Esta Lei entra em vigor na data de sua publicação.</w:t>
      </w:r>
    </w:p>
    <w:p w:rsidR="00BF3817" w:rsidRPr="00406600" w:rsidRDefault="00BF3817" w:rsidP="00BF3817">
      <w:pPr>
        <w:pStyle w:val="Pr-formataoHTML"/>
        <w:spacing w:after="200"/>
        <w:jc w:val="center"/>
        <w:rPr>
          <w:rFonts w:ascii="Times New Roman" w:hAnsi="Times New Roman"/>
          <w:sz w:val="24"/>
          <w:szCs w:val="24"/>
        </w:rPr>
      </w:pPr>
      <w:r w:rsidRPr="00406600">
        <w:rPr>
          <w:rFonts w:ascii="Times New Roman" w:hAnsi="Times New Roman"/>
          <w:b/>
          <w:sz w:val="24"/>
          <w:szCs w:val="24"/>
        </w:rPr>
        <w:t> </w:t>
      </w:r>
      <w:r w:rsidRPr="00406600">
        <w:rPr>
          <w:rFonts w:ascii="Times New Roman" w:hAnsi="Times New Roman"/>
          <w:sz w:val="24"/>
          <w:szCs w:val="24"/>
        </w:rPr>
        <w:t>Lima Duarte, 1</w:t>
      </w:r>
      <w:r w:rsidR="00EE362E" w:rsidRPr="00406600">
        <w:rPr>
          <w:rFonts w:ascii="Times New Roman" w:hAnsi="Times New Roman"/>
          <w:sz w:val="24"/>
          <w:szCs w:val="24"/>
          <w:lang w:val="pt-BR"/>
        </w:rPr>
        <w:t>1</w:t>
      </w:r>
      <w:r w:rsidRPr="00406600">
        <w:rPr>
          <w:rFonts w:ascii="Times New Roman" w:hAnsi="Times New Roman"/>
          <w:sz w:val="24"/>
          <w:szCs w:val="24"/>
        </w:rPr>
        <w:t xml:space="preserve"> de </w:t>
      </w:r>
      <w:r w:rsidR="00EE362E" w:rsidRPr="00406600">
        <w:rPr>
          <w:rFonts w:ascii="Times New Roman" w:hAnsi="Times New Roman"/>
          <w:sz w:val="24"/>
          <w:szCs w:val="24"/>
          <w:lang w:val="pt-BR"/>
        </w:rPr>
        <w:t>agosto</w:t>
      </w:r>
      <w:r w:rsidRPr="00406600">
        <w:rPr>
          <w:rFonts w:ascii="Times New Roman" w:hAnsi="Times New Roman"/>
          <w:sz w:val="24"/>
          <w:szCs w:val="24"/>
        </w:rPr>
        <w:t xml:space="preserve"> de 2017.</w:t>
      </w:r>
    </w:p>
    <w:p w:rsidR="00BF3817" w:rsidRPr="00406600" w:rsidRDefault="00BF3817" w:rsidP="00BF3817">
      <w:pPr>
        <w:pStyle w:val="Pr-formataoHTML"/>
        <w:spacing w:after="100"/>
        <w:jc w:val="center"/>
        <w:rPr>
          <w:rFonts w:ascii="Times New Roman" w:hAnsi="Times New Roman"/>
          <w:sz w:val="24"/>
          <w:szCs w:val="24"/>
        </w:rPr>
      </w:pPr>
    </w:p>
    <w:p w:rsidR="00BF3817" w:rsidRPr="00406600" w:rsidRDefault="00BF3817" w:rsidP="00BF3817">
      <w:pPr>
        <w:spacing w:after="100"/>
        <w:jc w:val="center"/>
        <w:rPr>
          <w:rFonts w:ascii="Times New Roman" w:hAnsi="Times New Roman" w:cs="Times New Roman"/>
          <w:b w:val="0"/>
          <w:szCs w:val="24"/>
        </w:rPr>
      </w:pPr>
    </w:p>
    <w:p w:rsidR="00BF3817" w:rsidRPr="00406600" w:rsidRDefault="00BF3817" w:rsidP="00BF3817">
      <w:pPr>
        <w:spacing w:after="100"/>
        <w:jc w:val="center"/>
        <w:rPr>
          <w:rFonts w:ascii="Times New Roman" w:hAnsi="Times New Roman" w:cs="Times New Roman"/>
          <w:b w:val="0"/>
          <w:szCs w:val="24"/>
        </w:rPr>
      </w:pPr>
      <w:r w:rsidRPr="00406600">
        <w:rPr>
          <w:rFonts w:ascii="Times New Roman" w:hAnsi="Times New Roman" w:cs="Times New Roman"/>
          <w:b w:val="0"/>
          <w:szCs w:val="24"/>
        </w:rPr>
        <w:t>Geraldo Gomes de Souza</w:t>
      </w:r>
    </w:p>
    <w:p w:rsidR="00BF3817" w:rsidRPr="00406600" w:rsidRDefault="00BF3817" w:rsidP="00BF3817">
      <w:pPr>
        <w:spacing w:after="100"/>
        <w:jc w:val="center"/>
        <w:rPr>
          <w:rFonts w:ascii="Times New Roman" w:hAnsi="Times New Roman" w:cs="Times New Roman"/>
          <w:b w:val="0"/>
          <w:szCs w:val="24"/>
        </w:rPr>
      </w:pPr>
      <w:r w:rsidRPr="00406600">
        <w:rPr>
          <w:rFonts w:ascii="Times New Roman" w:hAnsi="Times New Roman" w:cs="Times New Roman"/>
          <w:b w:val="0"/>
          <w:szCs w:val="24"/>
        </w:rPr>
        <w:t>Prefeito Municipal</w:t>
      </w:r>
    </w:p>
    <w:p w:rsidR="002377FF" w:rsidRPr="00406600" w:rsidRDefault="002377FF" w:rsidP="002377FF"/>
    <w:p w:rsidR="00350FE8" w:rsidRPr="00406600" w:rsidRDefault="00350FE8" w:rsidP="00A5589C">
      <w:pPr>
        <w:pStyle w:val="Corpodetexto2"/>
        <w:spacing w:after="200"/>
        <w:rPr>
          <w:b w:val="0"/>
          <w:sz w:val="24"/>
        </w:rPr>
      </w:pPr>
    </w:p>
    <w:p w:rsidR="00350FE8" w:rsidRPr="00406600" w:rsidRDefault="00350FE8" w:rsidP="00A5589C">
      <w:pPr>
        <w:pStyle w:val="Corpodetexto2"/>
        <w:spacing w:after="200"/>
        <w:rPr>
          <w:b w:val="0"/>
          <w:sz w:val="24"/>
        </w:rPr>
      </w:pPr>
    </w:p>
    <w:p w:rsidR="00350FE8" w:rsidRPr="00406600" w:rsidRDefault="00350FE8" w:rsidP="00A5589C">
      <w:pPr>
        <w:pStyle w:val="Corpodetexto2"/>
        <w:spacing w:after="200"/>
        <w:rPr>
          <w:b w:val="0"/>
          <w:sz w:val="24"/>
        </w:rPr>
      </w:pPr>
    </w:p>
    <w:p w:rsidR="00110F40" w:rsidRPr="00406600" w:rsidRDefault="00A5589C" w:rsidP="00350FE8">
      <w:pPr>
        <w:pStyle w:val="Corpodetexto2"/>
        <w:spacing w:after="200"/>
        <w:jc w:val="both"/>
        <w:rPr>
          <w:b w:val="0"/>
          <w:sz w:val="20"/>
          <w:szCs w:val="20"/>
        </w:rPr>
      </w:pPr>
      <w:r w:rsidRPr="00406600">
        <w:rPr>
          <w:b w:val="0"/>
          <w:sz w:val="20"/>
          <w:szCs w:val="20"/>
        </w:rPr>
        <w:t>Publicado por afixação no</w:t>
      </w:r>
      <w:r w:rsidR="00350FE8" w:rsidRPr="00406600">
        <w:rPr>
          <w:b w:val="0"/>
          <w:sz w:val="20"/>
          <w:szCs w:val="20"/>
        </w:rPr>
        <w:t>s</w:t>
      </w:r>
      <w:r w:rsidRPr="00406600">
        <w:rPr>
          <w:b w:val="0"/>
          <w:sz w:val="20"/>
          <w:szCs w:val="20"/>
        </w:rPr>
        <w:t xml:space="preserve"> quadro</w:t>
      </w:r>
      <w:r w:rsidR="00350FE8" w:rsidRPr="00406600">
        <w:rPr>
          <w:b w:val="0"/>
          <w:sz w:val="20"/>
          <w:szCs w:val="20"/>
        </w:rPr>
        <w:t>s</w:t>
      </w:r>
      <w:r w:rsidRPr="00406600">
        <w:rPr>
          <w:b w:val="0"/>
          <w:sz w:val="20"/>
          <w:szCs w:val="20"/>
        </w:rPr>
        <w:t xml:space="preserve"> de avisos</w:t>
      </w:r>
      <w:r w:rsidR="00350FE8" w:rsidRPr="00406600">
        <w:rPr>
          <w:b w:val="0"/>
          <w:sz w:val="20"/>
          <w:szCs w:val="20"/>
        </w:rPr>
        <w:t xml:space="preserve"> e site</w:t>
      </w:r>
      <w:r w:rsidRPr="00406600">
        <w:rPr>
          <w:b w:val="0"/>
          <w:sz w:val="20"/>
          <w:szCs w:val="20"/>
        </w:rPr>
        <w:t xml:space="preserve"> da </w:t>
      </w:r>
      <w:r w:rsidR="002C7104">
        <w:rPr>
          <w:b w:val="0"/>
          <w:sz w:val="20"/>
          <w:szCs w:val="20"/>
        </w:rPr>
        <w:t>Prefeitura</w:t>
      </w:r>
      <w:r w:rsidR="00907AF2" w:rsidRPr="00406600">
        <w:rPr>
          <w:b w:val="0"/>
          <w:sz w:val="20"/>
          <w:szCs w:val="20"/>
        </w:rPr>
        <w:t xml:space="preserve"> </w:t>
      </w:r>
      <w:r w:rsidRPr="00406600">
        <w:rPr>
          <w:b w:val="0"/>
          <w:sz w:val="20"/>
          <w:szCs w:val="20"/>
        </w:rPr>
        <w:t xml:space="preserve">Municipal de Lima Duarte – em </w:t>
      </w:r>
      <w:r w:rsidR="00BF3817" w:rsidRPr="00406600">
        <w:rPr>
          <w:b w:val="0"/>
          <w:sz w:val="20"/>
          <w:szCs w:val="20"/>
        </w:rPr>
        <w:t>1</w:t>
      </w:r>
      <w:r w:rsidR="00EE362E" w:rsidRPr="00406600">
        <w:rPr>
          <w:b w:val="0"/>
          <w:sz w:val="20"/>
          <w:szCs w:val="20"/>
        </w:rPr>
        <w:t>1</w:t>
      </w:r>
      <w:r w:rsidRPr="00406600">
        <w:rPr>
          <w:b w:val="0"/>
          <w:sz w:val="20"/>
          <w:szCs w:val="20"/>
        </w:rPr>
        <w:t>/0</w:t>
      </w:r>
      <w:r w:rsidR="00EE362E" w:rsidRPr="00406600">
        <w:rPr>
          <w:b w:val="0"/>
          <w:sz w:val="20"/>
          <w:szCs w:val="20"/>
        </w:rPr>
        <w:t>8</w:t>
      </w:r>
      <w:r w:rsidRPr="00406600">
        <w:rPr>
          <w:b w:val="0"/>
          <w:sz w:val="20"/>
          <w:szCs w:val="20"/>
        </w:rPr>
        <w:t>/201</w:t>
      </w:r>
      <w:r w:rsidR="00350FE8" w:rsidRPr="00406600">
        <w:rPr>
          <w:b w:val="0"/>
          <w:sz w:val="20"/>
          <w:szCs w:val="20"/>
        </w:rPr>
        <w:t>7</w:t>
      </w:r>
      <w:bookmarkStart w:id="0" w:name="_GoBack"/>
      <w:bookmarkEnd w:id="0"/>
      <w:r w:rsidRPr="00406600">
        <w:rPr>
          <w:b w:val="0"/>
          <w:sz w:val="20"/>
          <w:szCs w:val="20"/>
        </w:rPr>
        <w:t>.</w:t>
      </w:r>
    </w:p>
    <w:sectPr w:rsidR="00110F40" w:rsidRPr="00406600" w:rsidSect="00F63F81">
      <w:headerReference w:type="default" r:id="rId8"/>
      <w:footerReference w:type="default" r:id="rId9"/>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FE1" w:rsidRDefault="00642FE1">
      <w:r>
        <w:separator/>
      </w:r>
    </w:p>
  </w:endnote>
  <w:endnote w:type="continuationSeparator" w:id="0">
    <w:p w:rsidR="00642FE1" w:rsidRDefault="0064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Rua Antônio Carlos, nº 51 - Centro - CEP 36.140-000 - Lima Duarte - MG</w:t>
    </w:r>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FE1" w:rsidRDefault="00642FE1">
      <w:r>
        <w:separator/>
      </w:r>
    </w:p>
  </w:footnote>
  <w:footnote w:type="continuationSeparator" w:id="0">
    <w:p w:rsidR="00642FE1" w:rsidRDefault="00642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7CAC"/>
    <w:rsid w:val="000315BA"/>
    <w:rsid w:val="00051D5C"/>
    <w:rsid w:val="000B52B8"/>
    <w:rsid w:val="000E5E84"/>
    <w:rsid w:val="00110F40"/>
    <w:rsid w:val="0012078C"/>
    <w:rsid w:val="001207C6"/>
    <w:rsid w:val="001318DA"/>
    <w:rsid w:val="00184FD2"/>
    <w:rsid w:val="001D0F56"/>
    <w:rsid w:val="001D2302"/>
    <w:rsid w:val="001F4215"/>
    <w:rsid w:val="001F68EF"/>
    <w:rsid w:val="002337A4"/>
    <w:rsid w:val="002377FF"/>
    <w:rsid w:val="00255DD4"/>
    <w:rsid w:val="002813C1"/>
    <w:rsid w:val="002B6127"/>
    <w:rsid w:val="002C7104"/>
    <w:rsid w:val="002F7356"/>
    <w:rsid w:val="003148ED"/>
    <w:rsid w:val="003159A2"/>
    <w:rsid w:val="003160F3"/>
    <w:rsid w:val="00350FE8"/>
    <w:rsid w:val="00366EF9"/>
    <w:rsid w:val="00377791"/>
    <w:rsid w:val="003777A3"/>
    <w:rsid w:val="00391906"/>
    <w:rsid w:val="00395C98"/>
    <w:rsid w:val="003A36ED"/>
    <w:rsid w:val="003B0E1D"/>
    <w:rsid w:val="003C62B0"/>
    <w:rsid w:val="003C7C39"/>
    <w:rsid w:val="003E3CCB"/>
    <w:rsid w:val="003F4063"/>
    <w:rsid w:val="00400F51"/>
    <w:rsid w:val="00406600"/>
    <w:rsid w:val="004A053E"/>
    <w:rsid w:val="004B1FD4"/>
    <w:rsid w:val="004C0677"/>
    <w:rsid w:val="004E652D"/>
    <w:rsid w:val="005025D4"/>
    <w:rsid w:val="00502684"/>
    <w:rsid w:val="00512E1B"/>
    <w:rsid w:val="00556420"/>
    <w:rsid w:val="005B7213"/>
    <w:rsid w:val="005D4044"/>
    <w:rsid w:val="005D6963"/>
    <w:rsid w:val="005E3963"/>
    <w:rsid w:val="0064180F"/>
    <w:rsid w:val="00642FE1"/>
    <w:rsid w:val="00686C44"/>
    <w:rsid w:val="006B523C"/>
    <w:rsid w:val="006C3CD7"/>
    <w:rsid w:val="006D084F"/>
    <w:rsid w:val="00742F10"/>
    <w:rsid w:val="0075031C"/>
    <w:rsid w:val="00766412"/>
    <w:rsid w:val="007E0168"/>
    <w:rsid w:val="00851A61"/>
    <w:rsid w:val="008639A6"/>
    <w:rsid w:val="008700D2"/>
    <w:rsid w:val="00872394"/>
    <w:rsid w:val="00887D1A"/>
    <w:rsid w:val="00891CF3"/>
    <w:rsid w:val="008A01D2"/>
    <w:rsid w:val="008B2B42"/>
    <w:rsid w:val="008C1F4C"/>
    <w:rsid w:val="00903C73"/>
    <w:rsid w:val="00907AF2"/>
    <w:rsid w:val="009238F4"/>
    <w:rsid w:val="0095048C"/>
    <w:rsid w:val="00965A23"/>
    <w:rsid w:val="009A4A4D"/>
    <w:rsid w:val="009E2D48"/>
    <w:rsid w:val="00A33E04"/>
    <w:rsid w:val="00A5589C"/>
    <w:rsid w:val="00A60144"/>
    <w:rsid w:val="00A65DCF"/>
    <w:rsid w:val="00A8032B"/>
    <w:rsid w:val="00A8060A"/>
    <w:rsid w:val="00A90808"/>
    <w:rsid w:val="00AE2C42"/>
    <w:rsid w:val="00AF523B"/>
    <w:rsid w:val="00B13452"/>
    <w:rsid w:val="00B13B9F"/>
    <w:rsid w:val="00B329DC"/>
    <w:rsid w:val="00B919BA"/>
    <w:rsid w:val="00BE37E3"/>
    <w:rsid w:val="00BF3817"/>
    <w:rsid w:val="00C22287"/>
    <w:rsid w:val="00C32E01"/>
    <w:rsid w:val="00C47137"/>
    <w:rsid w:val="00CA57FC"/>
    <w:rsid w:val="00D429CE"/>
    <w:rsid w:val="00D907EA"/>
    <w:rsid w:val="00DD2745"/>
    <w:rsid w:val="00DE7030"/>
    <w:rsid w:val="00DF4083"/>
    <w:rsid w:val="00E0144D"/>
    <w:rsid w:val="00E30BBB"/>
    <w:rsid w:val="00E6154B"/>
    <w:rsid w:val="00E67D6B"/>
    <w:rsid w:val="00E8640E"/>
    <w:rsid w:val="00E92838"/>
    <w:rsid w:val="00EE1BEF"/>
    <w:rsid w:val="00EE362E"/>
    <w:rsid w:val="00EE55CE"/>
    <w:rsid w:val="00F0386A"/>
    <w:rsid w:val="00F12ACD"/>
    <w:rsid w:val="00F14B46"/>
    <w:rsid w:val="00F207ED"/>
    <w:rsid w:val="00F63F81"/>
    <w:rsid w:val="00F844E5"/>
    <w:rsid w:val="00F87010"/>
    <w:rsid w:val="00F875D5"/>
    <w:rsid w:val="00FA1063"/>
    <w:rsid w:val="00FD20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Lei Municipal Ordinária nº 1.851, 2017</Template>
  <TotalTime>4</TotalTime>
  <Pages>9</Pages>
  <Words>2751</Words>
  <Characters>14858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17574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7</cp:revision>
  <cp:lastPrinted>2017-06-07T17:12:00Z</cp:lastPrinted>
  <dcterms:created xsi:type="dcterms:W3CDTF">2018-04-04T14:10:00Z</dcterms:created>
  <dcterms:modified xsi:type="dcterms:W3CDTF">2018-04-04T14:21:00Z</dcterms:modified>
</cp:coreProperties>
</file>